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73"/>
        <w:gridCol w:w="5230"/>
        <w:gridCol w:w="1957"/>
      </w:tblGrid>
      <w:tr w:rsidR="00276A83" w14:paraId="69EF1556" w14:textId="77777777" w:rsidTr="00ED7B30">
        <w:tc>
          <w:tcPr>
            <w:tcW w:w="2293" w:type="dxa"/>
            <w:hideMark/>
          </w:tcPr>
          <w:p w14:paraId="5D93CA25" w14:textId="78883385" w:rsidR="00276A83" w:rsidRDefault="00276A83" w:rsidP="00ED7B30">
            <w:pPr>
              <w:tabs>
                <w:tab w:val="left" w:pos="150"/>
                <w:tab w:val="center" w:pos="908"/>
              </w:tabs>
              <w:ind w:right="-540"/>
            </w:pPr>
            <w:r>
              <w:tab/>
            </w:r>
            <w:r w:rsidRPr="00EC7808">
              <w:rPr>
                <w:noProof/>
              </w:rPr>
              <w:drawing>
                <wp:inline distT="0" distB="0" distL="0" distR="0" wp14:anchorId="6FD1C587" wp14:editId="7B5549E3">
                  <wp:extent cx="914400" cy="914400"/>
                  <wp:effectExtent l="0" t="0" r="0" b="0"/>
                  <wp:docPr id="1" name="Picture 1" descr="State of Nevad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te of Nevada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EE242" w14:textId="77777777" w:rsidR="00276A83" w:rsidRDefault="00276A83" w:rsidP="00ED7B30">
            <w:pPr>
              <w:ind w:left="-720" w:right="-540"/>
              <w:jc w:val="center"/>
              <w:rPr>
                <w:color w:val="0033CC"/>
              </w:rPr>
            </w:pPr>
            <w:r>
              <w:rPr>
                <w:color w:val="0033CC"/>
              </w:rPr>
              <w:t>STEVE SISOLAK</w:t>
            </w:r>
          </w:p>
          <w:p w14:paraId="7AFAB844" w14:textId="77777777" w:rsidR="00276A83" w:rsidRDefault="00276A83" w:rsidP="00ED7B30">
            <w:pPr>
              <w:rPr>
                <w:sz w:val="22"/>
                <w:szCs w:val="22"/>
              </w:rPr>
            </w:pPr>
            <w:r>
              <w:rPr>
                <w:i/>
                <w:color w:val="0033CC"/>
              </w:rPr>
              <w:t xml:space="preserve">          Governor</w:t>
            </w:r>
          </w:p>
        </w:tc>
        <w:tc>
          <w:tcPr>
            <w:tcW w:w="6347" w:type="dxa"/>
          </w:tcPr>
          <w:p w14:paraId="7F7C150A" w14:textId="77777777" w:rsidR="00276A83" w:rsidRDefault="00276A83" w:rsidP="00ED7B30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14:paraId="56402914" w14:textId="77777777" w:rsidR="00276A83" w:rsidRDefault="00276A83" w:rsidP="00ED7B30">
            <w:pPr>
              <w:jc w:val="center"/>
              <w:rPr>
                <w:b/>
                <w:smallCaps/>
                <w:color w:val="0033CC"/>
                <w:sz w:val="24"/>
                <w:szCs w:val="24"/>
              </w:rPr>
            </w:pPr>
            <w:r>
              <w:rPr>
                <w:b/>
                <w:smallCaps/>
                <w:color w:val="0033CC"/>
                <w:sz w:val="24"/>
                <w:szCs w:val="24"/>
              </w:rPr>
              <w:t>STATE OF NEVADA</w:t>
            </w:r>
          </w:p>
          <w:p w14:paraId="7674B543" w14:textId="77777777" w:rsidR="00276A83" w:rsidRDefault="00276A83" w:rsidP="00ED7B30">
            <w:pPr>
              <w:jc w:val="center"/>
              <w:rPr>
                <w:smallCaps/>
                <w:color w:val="0033CC"/>
                <w:sz w:val="24"/>
                <w:szCs w:val="24"/>
              </w:rPr>
            </w:pPr>
            <w:r>
              <w:rPr>
                <w:smallCaps/>
                <w:color w:val="0033CC"/>
                <w:sz w:val="24"/>
                <w:szCs w:val="24"/>
              </w:rPr>
              <w:t>DEPARTMENT OF BUSINESS &amp; INDUSTRY</w:t>
            </w:r>
          </w:p>
          <w:p w14:paraId="765AB2BD" w14:textId="77777777" w:rsidR="00276A83" w:rsidRDefault="00276A83" w:rsidP="00ED7B30">
            <w:pPr>
              <w:jc w:val="center"/>
              <w:rPr>
                <w:smallCaps/>
                <w:color w:val="0033CC"/>
                <w:sz w:val="24"/>
                <w:szCs w:val="24"/>
              </w:rPr>
            </w:pPr>
            <w:r>
              <w:rPr>
                <w:smallCaps/>
                <w:color w:val="0033CC"/>
                <w:sz w:val="24"/>
                <w:szCs w:val="24"/>
              </w:rPr>
              <w:t>HOUSING DIVISION</w:t>
            </w:r>
          </w:p>
          <w:p w14:paraId="1087EFFA" w14:textId="77777777" w:rsidR="00276A83" w:rsidRDefault="00276A83" w:rsidP="00ED7B30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3300 West Sahara Ave. #300</w:t>
            </w:r>
          </w:p>
          <w:p w14:paraId="4A0E1247" w14:textId="77777777" w:rsidR="00276A83" w:rsidRDefault="00276A83" w:rsidP="00ED7B30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Las Vegas, NV 89102</w:t>
            </w:r>
          </w:p>
          <w:p w14:paraId="18DFFA13" w14:textId="77777777" w:rsidR="00276A83" w:rsidRDefault="00276A83" w:rsidP="00ED7B30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702-486-7220</w:t>
            </w:r>
          </w:p>
          <w:p w14:paraId="63895AEE" w14:textId="77777777" w:rsidR="00276A83" w:rsidRDefault="00276A83" w:rsidP="00ED7B30">
            <w:pPr>
              <w:jc w:val="center"/>
              <w:rPr>
                <w:color w:val="0033CC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7246DC" w14:textId="77777777" w:rsidR="00276A83" w:rsidRDefault="00276A83" w:rsidP="00ED7B30">
            <w:pPr>
              <w:rPr>
                <w:smallCaps/>
                <w:color w:val="0033CC"/>
              </w:rPr>
            </w:pPr>
          </w:p>
          <w:p w14:paraId="66153D10" w14:textId="77777777" w:rsidR="00276A83" w:rsidRDefault="00276A83" w:rsidP="00ED7B30">
            <w:pPr>
              <w:ind w:left="395" w:hanging="338"/>
              <w:jc w:val="center"/>
              <w:rPr>
                <w:smallCaps/>
                <w:color w:val="0033CC"/>
              </w:rPr>
            </w:pPr>
          </w:p>
          <w:p w14:paraId="57D4722B" w14:textId="77777777" w:rsidR="00276A83" w:rsidRDefault="00276A83" w:rsidP="00ED7B30">
            <w:pPr>
              <w:ind w:left="-720" w:right="-540"/>
              <w:jc w:val="center"/>
              <w:rPr>
                <w:color w:val="0033CC"/>
              </w:rPr>
            </w:pPr>
            <w:r>
              <w:rPr>
                <w:smallCaps/>
                <w:color w:val="0033CC"/>
              </w:rPr>
              <w:t xml:space="preserve">         </w:t>
            </w:r>
            <w:r>
              <w:rPr>
                <w:color w:val="0033CC"/>
              </w:rPr>
              <w:t>TERRY REYNOLDS</w:t>
            </w:r>
          </w:p>
          <w:p w14:paraId="0C2CAFEB" w14:textId="77777777" w:rsidR="00276A83" w:rsidRDefault="00276A83" w:rsidP="00ED7B30">
            <w:pPr>
              <w:jc w:val="center"/>
              <w:rPr>
                <w:i/>
                <w:color w:val="0033CC"/>
              </w:rPr>
            </w:pPr>
            <w:r>
              <w:rPr>
                <w:i/>
                <w:color w:val="0033CC"/>
              </w:rPr>
              <w:t xml:space="preserve">   Director</w:t>
            </w:r>
          </w:p>
          <w:p w14:paraId="29658B1C" w14:textId="77777777" w:rsidR="00276A83" w:rsidRDefault="00276A83" w:rsidP="00ED7B30">
            <w:pPr>
              <w:rPr>
                <w:color w:val="0033CC"/>
                <w:sz w:val="22"/>
                <w:szCs w:val="22"/>
              </w:rPr>
            </w:pPr>
          </w:p>
          <w:p w14:paraId="3796889D" w14:textId="77777777" w:rsidR="00276A83" w:rsidRDefault="00276A83" w:rsidP="00ED7B30">
            <w:pPr>
              <w:rPr>
                <w:color w:val="0033CC"/>
                <w:sz w:val="22"/>
                <w:szCs w:val="22"/>
              </w:rPr>
            </w:pPr>
          </w:p>
          <w:p w14:paraId="2503C7E7" w14:textId="77777777" w:rsidR="00276A83" w:rsidRDefault="00276A83" w:rsidP="00ED7B30">
            <w:pPr>
              <w:rPr>
                <w:smallCaps/>
                <w:color w:val="0033CC"/>
              </w:rPr>
            </w:pPr>
            <w:r>
              <w:rPr>
                <w:smallCaps/>
                <w:color w:val="0033CC"/>
              </w:rPr>
              <w:t xml:space="preserve">       Steve Aichroth</w:t>
            </w:r>
          </w:p>
          <w:p w14:paraId="1D18ACBB" w14:textId="77777777" w:rsidR="00276A83" w:rsidRDefault="00276A83" w:rsidP="00ED7B30">
            <w:pPr>
              <w:rPr>
                <w:color w:val="0033CC"/>
                <w:sz w:val="22"/>
                <w:szCs w:val="22"/>
              </w:rPr>
            </w:pPr>
            <w:r>
              <w:rPr>
                <w:i/>
                <w:color w:val="0033CC"/>
              </w:rPr>
              <w:t xml:space="preserve">        Administrator</w:t>
            </w:r>
          </w:p>
          <w:p w14:paraId="56A7442B" w14:textId="77777777" w:rsidR="00276A83" w:rsidRDefault="00276A83" w:rsidP="00ED7B30">
            <w:pPr>
              <w:jc w:val="center"/>
            </w:pPr>
          </w:p>
        </w:tc>
      </w:tr>
    </w:tbl>
    <w:p w14:paraId="14127DC7" w14:textId="77777777" w:rsidR="00276A83" w:rsidRPr="00790374" w:rsidRDefault="00276A83" w:rsidP="00276A83">
      <w:pPr>
        <w:ind w:right="-720"/>
        <w:rPr>
          <w:sz w:val="18"/>
          <w:szCs w:val="18"/>
        </w:rPr>
      </w:pPr>
    </w:p>
    <w:p w14:paraId="24700699" w14:textId="77777777" w:rsidR="00276A83" w:rsidRDefault="00276A83" w:rsidP="00276A83">
      <w:pPr>
        <w:tabs>
          <w:tab w:val="left" w:pos="0"/>
        </w:tabs>
        <w:suppressAutoHyphens/>
        <w:jc w:val="center"/>
        <w:rPr>
          <w:spacing w:val="-3"/>
        </w:rPr>
      </w:pPr>
    </w:p>
    <w:p w14:paraId="39101486" w14:textId="77777777" w:rsidR="005B5324" w:rsidRDefault="005B5324" w:rsidP="00276A83">
      <w:pPr>
        <w:rPr>
          <w:sz w:val="24"/>
          <w:szCs w:val="24"/>
        </w:rPr>
      </w:pPr>
    </w:p>
    <w:p w14:paraId="71BACAE4" w14:textId="77777777" w:rsidR="005B5324" w:rsidRDefault="005B5324" w:rsidP="00276A83">
      <w:pPr>
        <w:rPr>
          <w:sz w:val="24"/>
          <w:szCs w:val="24"/>
        </w:rPr>
      </w:pPr>
    </w:p>
    <w:p w14:paraId="75FB6591" w14:textId="5FF5CA76" w:rsidR="005B5324" w:rsidRDefault="005443C2" w:rsidP="00276A83">
      <w:pPr>
        <w:rPr>
          <w:sz w:val="24"/>
          <w:szCs w:val="24"/>
        </w:rPr>
      </w:pPr>
      <w:r>
        <w:rPr>
          <w:sz w:val="24"/>
          <w:szCs w:val="24"/>
        </w:rPr>
        <w:t>2/22/2022</w:t>
      </w:r>
    </w:p>
    <w:p w14:paraId="4103E099" w14:textId="77777777" w:rsidR="005B5324" w:rsidRDefault="005B5324" w:rsidP="00276A83">
      <w:pPr>
        <w:rPr>
          <w:sz w:val="24"/>
          <w:szCs w:val="24"/>
        </w:rPr>
      </w:pPr>
    </w:p>
    <w:p w14:paraId="3AD21D1F" w14:textId="7939FF4B" w:rsidR="00276A83" w:rsidRPr="00490E61" w:rsidRDefault="00276A83" w:rsidP="00276A83">
      <w:pPr>
        <w:rPr>
          <w:sz w:val="24"/>
          <w:szCs w:val="24"/>
        </w:rPr>
      </w:pPr>
      <w:r w:rsidRPr="00490E61"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 w:rsidRPr="00490E61">
        <w:rPr>
          <w:sz w:val="24"/>
          <w:szCs w:val="24"/>
        </w:rPr>
        <w:t>Recipients of 2020/2021 credits</w:t>
      </w:r>
    </w:p>
    <w:p w14:paraId="62DEEEED" w14:textId="77777777" w:rsidR="005B5324" w:rsidRDefault="005B5324" w:rsidP="00276A83">
      <w:pPr>
        <w:rPr>
          <w:sz w:val="24"/>
          <w:szCs w:val="24"/>
        </w:rPr>
      </w:pPr>
    </w:p>
    <w:p w14:paraId="29B40927" w14:textId="26068311" w:rsidR="00276A83" w:rsidRPr="00490E61" w:rsidRDefault="00276A83" w:rsidP="00276A83">
      <w:pPr>
        <w:rPr>
          <w:sz w:val="24"/>
          <w:szCs w:val="24"/>
        </w:rPr>
      </w:pPr>
      <w:r w:rsidRPr="00490E61">
        <w:rPr>
          <w:sz w:val="24"/>
          <w:szCs w:val="24"/>
        </w:rPr>
        <w:t>From:</w:t>
      </w:r>
      <w:r w:rsidRPr="00490E61">
        <w:rPr>
          <w:sz w:val="24"/>
          <w:szCs w:val="24"/>
        </w:rPr>
        <w:tab/>
        <w:t>Mark Licea, NHD</w:t>
      </w:r>
    </w:p>
    <w:p w14:paraId="572B5842" w14:textId="77777777" w:rsidR="00276A83" w:rsidRDefault="00276A83" w:rsidP="00276A83">
      <w:pPr>
        <w:rPr>
          <w:sz w:val="24"/>
          <w:szCs w:val="24"/>
        </w:rPr>
      </w:pPr>
    </w:p>
    <w:p w14:paraId="7ACFDD4E" w14:textId="30EF7656" w:rsidR="00276A83" w:rsidRDefault="00276A83" w:rsidP="00276A83">
      <w:pPr>
        <w:rPr>
          <w:sz w:val="24"/>
          <w:szCs w:val="24"/>
        </w:rPr>
      </w:pPr>
      <w:r w:rsidRPr="00490E61">
        <w:rPr>
          <w:sz w:val="24"/>
          <w:szCs w:val="24"/>
        </w:rPr>
        <w:t>Re:</w:t>
      </w:r>
      <w:r w:rsidRPr="00490E61">
        <w:rPr>
          <w:sz w:val="24"/>
          <w:szCs w:val="24"/>
        </w:rPr>
        <w:tab/>
      </w:r>
      <w:r w:rsidR="005443C2">
        <w:rPr>
          <w:sz w:val="24"/>
          <w:szCs w:val="24"/>
        </w:rPr>
        <w:t>Early submission of 2022 additional LIHTC applications</w:t>
      </w:r>
    </w:p>
    <w:p w14:paraId="6F7F166D" w14:textId="77777777" w:rsidR="00276A83" w:rsidRPr="00490E61" w:rsidRDefault="00276A83" w:rsidP="00276A83">
      <w:pPr>
        <w:rPr>
          <w:sz w:val="24"/>
          <w:szCs w:val="24"/>
        </w:rPr>
      </w:pPr>
    </w:p>
    <w:p w14:paraId="1369E5C3" w14:textId="07E387B4" w:rsidR="00276A83" w:rsidRPr="00402B91" w:rsidRDefault="00957EF9" w:rsidP="00276A83">
      <w:pPr>
        <w:rPr>
          <w:sz w:val="24"/>
          <w:szCs w:val="24"/>
        </w:rPr>
      </w:pPr>
      <w:r>
        <w:rPr>
          <w:sz w:val="24"/>
          <w:szCs w:val="24"/>
        </w:rPr>
        <w:t>Based on the consensus reached at our virtual 2/22/2022 meeting, t</w:t>
      </w:r>
      <w:r w:rsidR="00276A83" w:rsidRPr="00402B91">
        <w:rPr>
          <w:sz w:val="24"/>
          <w:szCs w:val="24"/>
        </w:rPr>
        <w:t xml:space="preserve">he Division is requesting </w:t>
      </w:r>
      <w:r w:rsidR="005443C2">
        <w:rPr>
          <w:sz w:val="24"/>
          <w:szCs w:val="24"/>
        </w:rPr>
        <w:t>that additional 2022 LIHTC credit applications be submitted by</w:t>
      </w:r>
      <w:r w:rsidR="00276A83">
        <w:rPr>
          <w:sz w:val="24"/>
          <w:szCs w:val="24"/>
        </w:rPr>
        <w:t xml:space="preserve"> </w:t>
      </w:r>
      <w:r w:rsidR="00276A83" w:rsidRPr="00402B91">
        <w:rPr>
          <w:sz w:val="24"/>
          <w:szCs w:val="24"/>
        </w:rPr>
        <w:t>3/4/2022</w:t>
      </w:r>
      <w:r w:rsidR="005443C2">
        <w:rPr>
          <w:sz w:val="24"/>
          <w:szCs w:val="24"/>
        </w:rPr>
        <w:t>; and a</w:t>
      </w:r>
      <w:r w:rsidR="00276A83" w:rsidRPr="00402B91">
        <w:rPr>
          <w:sz w:val="24"/>
          <w:szCs w:val="24"/>
        </w:rPr>
        <w:t xml:space="preserve">dditional reservations will then be issued no later than </w:t>
      </w:r>
      <w:r w:rsidR="001B5EE8">
        <w:rPr>
          <w:sz w:val="24"/>
          <w:szCs w:val="24"/>
        </w:rPr>
        <w:t>March 11, 2022</w:t>
      </w:r>
      <w:r w:rsidR="00276A83" w:rsidRPr="00402B91">
        <w:rPr>
          <w:sz w:val="24"/>
          <w:szCs w:val="24"/>
        </w:rPr>
        <w:t>.  Additionally, 2020 projects seeking their first additional credit request will also be eligible</w:t>
      </w:r>
      <w:r w:rsidR="00F97805">
        <w:rPr>
          <w:sz w:val="24"/>
          <w:szCs w:val="24"/>
        </w:rPr>
        <w:t>.</w:t>
      </w:r>
      <w:r w:rsidR="005443C2">
        <w:rPr>
          <w:sz w:val="24"/>
          <w:szCs w:val="24"/>
        </w:rPr>
        <w:t xml:space="preserve">  </w:t>
      </w:r>
      <w:r>
        <w:rPr>
          <w:sz w:val="24"/>
          <w:szCs w:val="24"/>
        </w:rPr>
        <w:t>T</w:t>
      </w:r>
      <w:r w:rsidR="005443C2">
        <w:rPr>
          <w:sz w:val="24"/>
          <w:szCs w:val="24"/>
        </w:rPr>
        <w:t xml:space="preserve">he Division is </w:t>
      </w:r>
      <w:r>
        <w:rPr>
          <w:sz w:val="24"/>
          <w:szCs w:val="24"/>
        </w:rPr>
        <w:t xml:space="preserve">also </w:t>
      </w:r>
      <w:r w:rsidR="005443C2">
        <w:rPr>
          <w:sz w:val="24"/>
          <w:szCs w:val="24"/>
        </w:rPr>
        <w:t xml:space="preserve">considering </w:t>
      </w:r>
      <w:r>
        <w:rPr>
          <w:sz w:val="24"/>
          <w:szCs w:val="24"/>
        </w:rPr>
        <w:t xml:space="preserve">that </w:t>
      </w:r>
      <w:r w:rsidR="005443C2">
        <w:rPr>
          <w:sz w:val="24"/>
          <w:szCs w:val="24"/>
        </w:rPr>
        <w:t>the early submission of additional LIHTC credit</w:t>
      </w:r>
      <w:r>
        <w:rPr>
          <w:sz w:val="24"/>
          <w:szCs w:val="24"/>
        </w:rPr>
        <w:t xml:space="preserve"> applications</w:t>
      </w:r>
      <w:r w:rsidR="005443C2">
        <w:rPr>
          <w:sz w:val="24"/>
          <w:szCs w:val="24"/>
        </w:rPr>
        <w:t xml:space="preserve"> </w:t>
      </w:r>
      <w:r>
        <w:rPr>
          <w:sz w:val="24"/>
          <w:szCs w:val="24"/>
        </w:rPr>
        <w:t>be a permanent addition to</w:t>
      </w:r>
      <w:r w:rsidR="005443C2">
        <w:rPr>
          <w:sz w:val="24"/>
          <w:szCs w:val="24"/>
        </w:rPr>
        <w:t xml:space="preserve"> our annual QAP.</w:t>
      </w:r>
    </w:p>
    <w:p w14:paraId="37F4B395" w14:textId="77777777" w:rsidR="00276A83" w:rsidRDefault="00276A83" w:rsidP="00276A83">
      <w:pPr>
        <w:rPr>
          <w:sz w:val="24"/>
          <w:szCs w:val="24"/>
        </w:rPr>
      </w:pPr>
    </w:p>
    <w:p w14:paraId="60A01705" w14:textId="29E2AECE" w:rsidR="00276A83" w:rsidRPr="00402B91" w:rsidRDefault="00276A83" w:rsidP="00276A83">
      <w:pPr>
        <w:rPr>
          <w:sz w:val="24"/>
          <w:szCs w:val="24"/>
        </w:rPr>
      </w:pPr>
      <w:r w:rsidRPr="00402B91">
        <w:rPr>
          <w:sz w:val="24"/>
          <w:szCs w:val="24"/>
        </w:rPr>
        <w:t xml:space="preserve">The current Additional Credit </w:t>
      </w:r>
      <w:r>
        <w:rPr>
          <w:sz w:val="24"/>
          <w:szCs w:val="24"/>
        </w:rPr>
        <w:t>set-</w:t>
      </w:r>
      <w:r w:rsidRPr="00402B91">
        <w:rPr>
          <w:sz w:val="24"/>
          <w:szCs w:val="24"/>
        </w:rPr>
        <w:t>aside amount is $1,005,178</w:t>
      </w:r>
      <w:r>
        <w:rPr>
          <w:sz w:val="24"/>
          <w:szCs w:val="24"/>
        </w:rPr>
        <w:t>.00</w:t>
      </w:r>
      <w:r w:rsidRPr="00402B91">
        <w:rPr>
          <w:sz w:val="24"/>
          <w:szCs w:val="24"/>
        </w:rPr>
        <w:t xml:space="preserve">; and will be adjusted upwards once the 2022 IRS population figures are available.  If the figures come out after </w:t>
      </w:r>
      <w:r w:rsidR="001B5EE8">
        <w:rPr>
          <w:sz w:val="24"/>
          <w:szCs w:val="24"/>
        </w:rPr>
        <w:t>March 11, 2022</w:t>
      </w:r>
      <w:r w:rsidRPr="00402B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slight </w:t>
      </w:r>
      <w:r w:rsidRPr="00402B91">
        <w:rPr>
          <w:sz w:val="24"/>
          <w:szCs w:val="24"/>
        </w:rPr>
        <w:t xml:space="preserve">adjustments </w:t>
      </w:r>
      <w:r>
        <w:rPr>
          <w:sz w:val="24"/>
          <w:szCs w:val="24"/>
        </w:rPr>
        <w:t xml:space="preserve">to the additional allocations </w:t>
      </w:r>
      <w:r w:rsidRPr="00402B91">
        <w:rPr>
          <w:sz w:val="24"/>
          <w:szCs w:val="24"/>
        </w:rPr>
        <w:t xml:space="preserve">will be made accordingly. </w:t>
      </w:r>
    </w:p>
    <w:p w14:paraId="160DDF83" w14:textId="77777777" w:rsidR="00F97805" w:rsidRDefault="00F97805" w:rsidP="00276A83">
      <w:pPr>
        <w:rPr>
          <w:sz w:val="24"/>
          <w:szCs w:val="24"/>
        </w:rPr>
      </w:pPr>
    </w:p>
    <w:p w14:paraId="2E849FA8" w14:textId="056A5E68" w:rsidR="00276A83" w:rsidRDefault="001B5EE8" w:rsidP="00276A8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276A83" w:rsidRPr="00402B91">
        <w:rPr>
          <w:sz w:val="24"/>
          <w:szCs w:val="24"/>
        </w:rPr>
        <w:t xml:space="preserve">rojects </w:t>
      </w:r>
      <w:r>
        <w:rPr>
          <w:sz w:val="24"/>
          <w:szCs w:val="24"/>
        </w:rPr>
        <w:t>that comply with Section 8.1.3 of the 2022 QAP are eligible for an award.  P</w:t>
      </w:r>
      <w:r w:rsidR="00276A83" w:rsidRPr="00402B91">
        <w:rPr>
          <w:b/>
          <w:bCs/>
          <w:sz w:val="24"/>
          <w:szCs w:val="24"/>
        </w:rPr>
        <w:t xml:space="preserve">rojects seeking a second additional allocation will </w:t>
      </w:r>
      <w:r w:rsidR="00276A83">
        <w:rPr>
          <w:b/>
          <w:bCs/>
          <w:sz w:val="24"/>
          <w:szCs w:val="24"/>
        </w:rPr>
        <w:t xml:space="preserve">only </w:t>
      </w:r>
      <w:r w:rsidR="00276A83" w:rsidRPr="00402B91">
        <w:rPr>
          <w:b/>
          <w:bCs/>
          <w:sz w:val="24"/>
          <w:szCs w:val="24"/>
        </w:rPr>
        <w:t>receive credits if:</w:t>
      </w:r>
    </w:p>
    <w:p w14:paraId="5CB46E22" w14:textId="77777777" w:rsidR="001B5EE8" w:rsidRPr="001B5EE8" w:rsidRDefault="001B5EE8" w:rsidP="00276A83">
      <w:pPr>
        <w:rPr>
          <w:sz w:val="24"/>
          <w:szCs w:val="24"/>
        </w:rPr>
      </w:pPr>
    </w:p>
    <w:p w14:paraId="30EDC53A" w14:textId="54F98182" w:rsidR="00276A83" w:rsidRPr="00402B91" w:rsidRDefault="00276A83" w:rsidP="00276A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B91">
        <w:rPr>
          <w:sz w:val="24"/>
          <w:szCs w:val="24"/>
        </w:rPr>
        <w:t xml:space="preserve">Adequate credits </w:t>
      </w:r>
      <w:r>
        <w:rPr>
          <w:sz w:val="24"/>
          <w:szCs w:val="24"/>
        </w:rPr>
        <w:t xml:space="preserve">remain </w:t>
      </w:r>
      <w:r w:rsidRPr="00402B91">
        <w:rPr>
          <w:sz w:val="24"/>
          <w:szCs w:val="24"/>
        </w:rPr>
        <w:t>in the Additional set-aside</w:t>
      </w:r>
      <w:r w:rsidR="001B5EE8">
        <w:rPr>
          <w:sz w:val="24"/>
          <w:szCs w:val="24"/>
        </w:rPr>
        <w:t>; and</w:t>
      </w:r>
    </w:p>
    <w:p w14:paraId="2CB409B4" w14:textId="77777777" w:rsidR="00276A83" w:rsidRPr="00402B91" w:rsidRDefault="00276A83" w:rsidP="00276A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B91">
        <w:rPr>
          <w:sz w:val="24"/>
          <w:szCs w:val="24"/>
        </w:rPr>
        <w:t>A waiver requesting a third allocation is included in the application</w:t>
      </w:r>
      <w:r>
        <w:rPr>
          <w:sz w:val="24"/>
          <w:szCs w:val="24"/>
        </w:rPr>
        <w:t xml:space="preserve"> and approved by NHD</w:t>
      </w:r>
    </w:p>
    <w:p w14:paraId="11E50ABF" w14:textId="77777777" w:rsidR="00276A83" w:rsidRPr="00402B91" w:rsidRDefault="00276A83" w:rsidP="00276A8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402B91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 xml:space="preserve">will be required </w:t>
      </w:r>
      <w:r w:rsidRPr="00402B91">
        <w:rPr>
          <w:sz w:val="24"/>
          <w:szCs w:val="24"/>
        </w:rPr>
        <w:t>in your submission:</w:t>
      </w:r>
    </w:p>
    <w:p w14:paraId="1AD9F863" w14:textId="02EA4361" w:rsidR="00276A83" w:rsidRPr="00402B91" w:rsidRDefault="00276A83" w:rsidP="00276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B91">
        <w:rPr>
          <w:sz w:val="24"/>
          <w:szCs w:val="24"/>
        </w:rPr>
        <w:t xml:space="preserve">A detailed, current proforma showing updated TDC / Eligible </w:t>
      </w:r>
      <w:r>
        <w:rPr>
          <w:sz w:val="24"/>
          <w:szCs w:val="24"/>
        </w:rPr>
        <w:t>B</w:t>
      </w:r>
      <w:r w:rsidRPr="00402B91">
        <w:rPr>
          <w:sz w:val="24"/>
          <w:szCs w:val="24"/>
        </w:rPr>
        <w:t xml:space="preserve">asis </w:t>
      </w:r>
      <w:proofErr w:type="gramStart"/>
      <w:r w:rsidRPr="00402B91">
        <w:rPr>
          <w:sz w:val="24"/>
          <w:szCs w:val="24"/>
        </w:rPr>
        <w:t>figures</w:t>
      </w:r>
      <w:r w:rsidR="001B5EE8">
        <w:rPr>
          <w:sz w:val="24"/>
          <w:szCs w:val="24"/>
        </w:rPr>
        <w:t>;</w:t>
      </w:r>
      <w:proofErr w:type="gramEnd"/>
    </w:p>
    <w:p w14:paraId="371AADE1" w14:textId="702789F9" w:rsidR="00276A83" w:rsidRPr="00402B91" w:rsidRDefault="00276A83" w:rsidP="00276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B91">
        <w:rPr>
          <w:sz w:val="24"/>
          <w:szCs w:val="24"/>
        </w:rPr>
        <w:t xml:space="preserve">Short narrative explaining the reasons for the need for additional </w:t>
      </w:r>
      <w:proofErr w:type="gramStart"/>
      <w:r w:rsidRPr="00402B91">
        <w:rPr>
          <w:sz w:val="24"/>
          <w:szCs w:val="24"/>
        </w:rPr>
        <w:t>credits</w:t>
      </w:r>
      <w:r w:rsidR="001B5EE8">
        <w:rPr>
          <w:sz w:val="24"/>
          <w:szCs w:val="24"/>
        </w:rPr>
        <w:t>;</w:t>
      </w:r>
      <w:proofErr w:type="gramEnd"/>
    </w:p>
    <w:p w14:paraId="158D6842" w14:textId="53BE9E09" w:rsidR="00276A83" w:rsidRPr="00402B91" w:rsidRDefault="00276A83" w:rsidP="00276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B91">
        <w:rPr>
          <w:sz w:val="24"/>
          <w:szCs w:val="24"/>
        </w:rPr>
        <w:t>Updated credit pricing info</w:t>
      </w:r>
      <w:r w:rsidR="001B5EE8">
        <w:rPr>
          <w:sz w:val="24"/>
          <w:szCs w:val="24"/>
        </w:rPr>
        <w:t>; and</w:t>
      </w:r>
    </w:p>
    <w:p w14:paraId="6CE56572" w14:textId="13C97921" w:rsidR="00276A83" w:rsidRDefault="00276A83" w:rsidP="00276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B91">
        <w:rPr>
          <w:sz w:val="24"/>
          <w:szCs w:val="24"/>
        </w:rPr>
        <w:t>Updated sources and uses for both construction and permanent financing</w:t>
      </w:r>
    </w:p>
    <w:p w14:paraId="390BC573" w14:textId="7C018128" w:rsidR="005C0C61" w:rsidRPr="00A91706" w:rsidRDefault="005443C2" w:rsidP="005443C2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Please contact the Division if you have any questions</w:t>
      </w:r>
    </w:p>
    <w:p w14:paraId="37DB901B" w14:textId="77777777" w:rsidR="005C0C61" w:rsidRPr="00A91706" w:rsidRDefault="005C0C61">
      <w:pPr>
        <w:rPr>
          <w:rFonts w:asciiTheme="minorHAnsi" w:hAnsiTheme="minorHAnsi" w:cstheme="minorHAnsi"/>
          <w:sz w:val="24"/>
          <w:szCs w:val="24"/>
        </w:rPr>
      </w:pPr>
    </w:p>
    <w:sectPr w:rsidR="005C0C61" w:rsidRPr="00A9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334"/>
    <w:multiLevelType w:val="hybridMultilevel"/>
    <w:tmpl w:val="4350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57DA"/>
    <w:multiLevelType w:val="hybridMultilevel"/>
    <w:tmpl w:val="1DB6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83"/>
    <w:rsid w:val="001B5EE8"/>
    <w:rsid w:val="00276A83"/>
    <w:rsid w:val="005443C2"/>
    <w:rsid w:val="005B5324"/>
    <w:rsid w:val="005C0C61"/>
    <w:rsid w:val="00666BEC"/>
    <w:rsid w:val="00673563"/>
    <w:rsid w:val="00957EF9"/>
    <w:rsid w:val="00974C69"/>
    <w:rsid w:val="00A91706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3916"/>
  <w15:chartTrackingRefBased/>
  <w15:docId w15:val="{6C1EEF68-3BF0-4C43-AA9A-9F605AE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C0C61"/>
    <w:rPr>
      <w:color w:val="0563C1" w:themeColor="hyperlink"/>
      <w:u w:val="single"/>
    </w:rPr>
  </w:style>
  <w:style w:type="character" w:customStyle="1" w:styleId="inv-subject">
    <w:name w:val="inv-subject"/>
    <w:basedOn w:val="DefaultParagraphFont"/>
    <w:rsid w:val="00666BEC"/>
  </w:style>
  <w:style w:type="character" w:customStyle="1" w:styleId="inv-date">
    <w:name w:val="inv-date"/>
    <w:basedOn w:val="DefaultParagraphFont"/>
    <w:rsid w:val="00666BEC"/>
  </w:style>
  <w:style w:type="character" w:customStyle="1" w:styleId="inv-meeting-url">
    <w:name w:val="inv-meeting-url"/>
    <w:basedOn w:val="DefaultParagraphFont"/>
    <w:rsid w:val="00666BEC"/>
  </w:style>
  <w:style w:type="character" w:styleId="FollowedHyperlink">
    <w:name w:val="FollowedHyperlink"/>
    <w:basedOn w:val="DefaultParagraphFont"/>
    <w:uiPriority w:val="99"/>
    <w:semiHidden/>
    <w:unhideWhenUsed/>
    <w:rsid w:val="00544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Licea</dc:creator>
  <cp:keywords/>
  <dc:description/>
  <cp:lastModifiedBy>Robert Shaw</cp:lastModifiedBy>
  <cp:revision>2</cp:revision>
  <cp:lastPrinted>2022-02-22T17:11:00Z</cp:lastPrinted>
  <dcterms:created xsi:type="dcterms:W3CDTF">2022-02-22T21:02:00Z</dcterms:created>
  <dcterms:modified xsi:type="dcterms:W3CDTF">2022-02-22T21:02:00Z</dcterms:modified>
</cp:coreProperties>
</file>