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65" w:rsidRDefault="00A455EC" w:rsidP="0094604B">
      <w:bookmarkStart w:id="0" w:name="_GoBack"/>
      <w:bookmarkEnd w:id="0"/>
      <w:r>
        <w:rPr>
          <w:noProof/>
        </w:rPr>
        <mc:AlternateContent>
          <mc:Choice Requires="wps">
            <w:drawing>
              <wp:anchor distT="0" distB="0" distL="114300" distR="114300" simplePos="0" relativeHeight="251667456" behindDoc="0" locked="0" layoutInCell="1" allowOverlap="1" wp14:anchorId="2B11D808" wp14:editId="66997B4D">
                <wp:simplePos x="0" y="0"/>
                <wp:positionH relativeFrom="column">
                  <wp:posOffset>-198755</wp:posOffset>
                </wp:positionH>
                <wp:positionV relativeFrom="paragraph">
                  <wp:posOffset>1319530</wp:posOffset>
                </wp:positionV>
                <wp:extent cx="7300595" cy="725424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7300595" cy="7254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D0D3B" w:rsidRDefault="005D0D3B" w:rsidP="00C848DC">
                            <w:pPr>
                              <w:tabs>
                                <w:tab w:val="right" w:pos="11160"/>
                              </w:tabs>
                              <w:ind w:right="-1166"/>
                              <w:rPr>
                                <w:rFonts w:ascii="Arial Black" w:eastAsia="Arial Unicode MS" w:hAnsi="Arial Black"/>
                                <w:color w:val="000000" w:themeColor="text1"/>
                                <w:szCs w:val="32"/>
                              </w:rPr>
                            </w:pPr>
                            <w:r w:rsidRPr="008F15EB">
                              <w:rPr>
                                <w:rFonts w:ascii="Arial Black" w:eastAsia="Arial Unicode MS" w:hAnsi="Arial Black"/>
                                <w:color w:val="000000" w:themeColor="text1"/>
                                <w:szCs w:val="32"/>
                              </w:rPr>
                              <w:t xml:space="preserve">Attn: </w:t>
                            </w:r>
                            <w:r w:rsidR="007312B7">
                              <w:rPr>
                                <w:rFonts w:ascii="Arial Black" w:eastAsia="Arial Unicode MS" w:hAnsi="Arial Black"/>
                                <w:color w:val="000000" w:themeColor="text1"/>
                                <w:szCs w:val="32"/>
                              </w:rPr>
                              <w:t xml:space="preserve">MRBP </w:t>
                            </w:r>
                            <w:r w:rsidR="00A85B9C">
                              <w:rPr>
                                <w:rFonts w:ascii="Arial Black" w:eastAsia="Arial Unicode MS" w:hAnsi="Arial Black"/>
                                <w:color w:val="000000" w:themeColor="text1"/>
                                <w:szCs w:val="32"/>
                              </w:rPr>
                              <w:t>Lenders</w:t>
                            </w:r>
                          </w:p>
                          <w:p w:rsidR="005D0D3B" w:rsidRPr="00C848DC" w:rsidRDefault="005D0D3B" w:rsidP="00C848DC">
                            <w:pPr>
                              <w:tabs>
                                <w:tab w:val="right" w:pos="11160"/>
                              </w:tabs>
                              <w:ind w:right="-1166"/>
                              <w:rPr>
                                <w:rFonts w:ascii="Arial Black" w:eastAsia="Times New Roman" w:hAnsi="Arial Black"/>
                                <w:color w:val="193182"/>
                                <w:sz w:val="8"/>
                                <w:szCs w:val="8"/>
                              </w:rPr>
                            </w:pPr>
                          </w:p>
                          <w:p w:rsidR="005D0D3B" w:rsidRPr="00991250" w:rsidRDefault="005D0D3B" w:rsidP="00C848DC">
                            <w:pPr>
                              <w:tabs>
                                <w:tab w:val="right" w:pos="11160"/>
                              </w:tabs>
                              <w:ind w:right="-1166"/>
                              <w:rPr>
                                <w:rFonts w:ascii="Arial Black" w:eastAsia="Arial Unicode MS" w:hAnsi="Arial Black"/>
                                <w:color w:val="193182"/>
                                <w:sz w:val="32"/>
                                <w:szCs w:val="32"/>
                              </w:rPr>
                            </w:pPr>
                            <w:r>
                              <w:rPr>
                                <w:rFonts w:ascii="Arial Black" w:eastAsia="Arial Unicode MS" w:hAnsi="Arial Black"/>
                                <w:color w:val="193182"/>
                                <w:sz w:val="32"/>
                                <w:szCs w:val="32"/>
                              </w:rPr>
                              <w:t xml:space="preserve">Dodd-Frank </w:t>
                            </w:r>
                            <w:r w:rsidR="001B1A80">
                              <w:rPr>
                                <w:rFonts w:ascii="Arial Black" w:eastAsia="Arial Unicode MS" w:hAnsi="Arial Black"/>
                                <w:color w:val="193182"/>
                                <w:sz w:val="32"/>
                                <w:szCs w:val="32"/>
                              </w:rPr>
                              <w:t>Compliance</w:t>
                            </w:r>
                            <w:r>
                              <w:rPr>
                                <w:rFonts w:ascii="Arial Black" w:eastAsia="Arial Unicode MS" w:hAnsi="Arial Black"/>
                                <w:color w:val="193182"/>
                                <w:sz w:val="32"/>
                                <w:szCs w:val="32"/>
                              </w:rPr>
                              <w:tab/>
                            </w:r>
                            <w:r w:rsidR="005F5EC3">
                              <w:rPr>
                                <w:rFonts w:ascii="Arial Black" w:eastAsia="Times New Roman" w:hAnsi="Arial Black"/>
                                <w:color w:val="193182"/>
                                <w:szCs w:val="38"/>
                              </w:rPr>
                              <w:t>Ju</w:t>
                            </w:r>
                            <w:r w:rsidR="00C848DC">
                              <w:rPr>
                                <w:rFonts w:ascii="Arial Black" w:eastAsia="Times New Roman" w:hAnsi="Arial Black"/>
                                <w:color w:val="193182"/>
                                <w:szCs w:val="38"/>
                              </w:rPr>
                              <w:t>ly</w:t>
                            </w:r>
                            <w:r w:rsidR="00EC0A4A">
                              <w:rPr>
                                <w:rFonts w:ascii="Arial Black" w:eastAsia="Times New Roman" w:hAnsi="Arial Black"/>
                                <w:color w:val="193182"/>
                                <w:szCs w:val="38"/>
                              </w:rPr>
                              <w:t xml:space="preserve"> </w:t>
                            </w:r>
                            <w:r w:rsidR="00D71244">
                              <w:rPr>
                                <w:rFonts w:ascii="Arial Black" w:eastAsia="Times New Roman" w:hAnsi="Arial Black"/>
                                <w:color w:val="193182"/>
                                <w:szCs w:val="38"/>
                              </w:rPr>
                              <w:t>1</w:t>
                            </w:r>
                            <w:r w:rsidR="00E426C5">
                              <w:rPr>
                                <w:rFonts w:ascii="Arial Black" w:eastAsia="Times New Roman" w:hAnsi="Arial Black"/>
                                <w:color w:val="193182"/>
                                <w:szCs w:val="38"/>
                              </w:rPr>
                              <w:t>5</w:t>
                            </w:r>
                            <w:r w:rsidR="00EC0A4A">
                              <w:rPr>
                                <w:rFonts w:ascii="Arial Black" w:eastAsia="Times New Roman" w:hAnsi="Arial Black"/>
                                <w:color w:val="193182"/>
                                <w:szCs w:val="38"/>
                              </w:rPr>
                              <w:t xml:space="preserve">, </w:t>
                            </w:r>
                            <w:r>
                              <w:rPr>
                                <w:rFonts w:ascii="Arial Black" w:eastAsia="Times New Roman" w:hAnsi="Arial Black"/>
                                <w:color w:val="193182"/>
                                <w:szCs w:val="38"/>
                              </w:rPr>
                              <w:t>2014</w:t>
                            </w:r>
                          </w:p>
                          <w:p w:rsidR="005D0D3B" w:rsidRPr="0022226E" w:rsidRDefault="0094604B" w:rsidP="005D0D3B">
                            <w:pPr>
                              <w:tabs>
                                <w:tab w:val="right" w:pos="11160"/>
                              </w:tabs>
                              <w:ind w:right="-1166"/>
                              <w:rPr>
                                <w:rFonts w:eastAsia="Arial Unicode MS"/>
                                <w:color w:val="000000" w:themeColor="text1"/>
                                <w:szCs w:val="22"/>
                              </w:rPr>
                            </w:pPr>
                            <w:r w:rsidRPr="0022226E">
                              <w:rPr>
                                <w:rFonts w:eastAsia="Arial Unicode MS"/>
                                <w:color w:val="000000" w:themeColor="text1"/>
                                <w:szCs w:val="22"/>
                              </w:rPr>
                              <w:t xml:space="preserve">This Lender Operations Update includes three important </w:t>
                            </w:r>
                            <w:r w:rsidR="001B1A80" w:rsidRPr="0022226E">
                              <w:rPr>
                                <w:rFonts w:eastAsia="Arial Unicode MS"/>
                                <w:color w:val="000000" w:themeColor="text1"/>
                                <w:szCs w:val="22"/>
                              </w:rPr>
                              <w:t>reminders</w:t>
                            </w:r>
                            <w:r w:rsidRPr="0022226E">
                              <w:rPr>
                                <w:rFonts w:eastAsia="Arial Unicode MS"/>
                                <w:color w:val="000000" w:themeColor="text1"/>
                                <w:szCs w:val="22"/>
                              </w:rPr>
                              <w:t xml:space="preserve"> to </w:t>
                            </w:r>
                            <w:r w:rsidR="00454B16" w:rsidRPr="0022226E">
                              <w:rPr>
                                <w:rFonts w:eastAsia="Arial Unicode MS"/>
                                <w:color w:val="000000" w:themeColor="text1"/>
                                <w:szCs w:val="22"/>
                              </w:rPr>
                              <w:t xml:space="preserve">help avoid delays or purchase </w:t>
                            </w:r>
                            <w:r w:rsidR="00BF2612">
                              <w:rPr>
                                <w:rFonts w:eastAsia="Arial Unicode MS"/>
                                <w:color w:val="000000" w:themeColor="text1"/>
                                <w:szCs w:val="22"/>
                              </w:rPr>
                              <w:br/>
                            </w:r>
                            <w:r w:rsidR="00454B16" w:rsidRPr="0022226E">
                              <w:rPr>
                                <w:rFonts w:eastAsia="Arial Unicode MS"/>
                                <w:color w:val="000000" w:themeColor="text1"/>
                                <w:szCs w:val="22"/>
                              </w:rPr>
                              <w:t xml:space="preserve">rejections. </w:t>
                            </w:r>
                            <w:r w:rsidRPr="0022226E">
                              <w:rPr>
                                <w:rFonts w:eastAsia="Arial Unicode MS"/>
                                <w:color w:val="000000" w:themeColor="text1"/>
                                <w:szCs w:val="22"/>
                              </w:rPr>
                              <w:t xml:space="preserve">Please </w:t>
                            </w:r>
                            <w:r w:rsidR="001B1A80" w:rsidRPr="0022226E">
                              <w:rPr>
                                <w:rFonts w:eastAsia="Arial Unicode MS"/>
                                <w:color w:val="000000" w:themeColor="text1"/>
                                <w:szCs w:val="22"/>
                              </w:rPr>
                              <w:t xml:space="preserve">review </w:t>
                            </w:r>
                            <w:r w:rsidRPr="0022226E">
                              <w:rPr>
                                <w:rFonts w:eastAsia="Arial Unicode MS"/>
                                <w:color w:val="000000" w:themeColor="text1"/>
                                <w:szCs w:val="22"/>
                              </w:rPr>
                              <w:t xml:space="preserve">these topics and </w:t>
                            </w:r>
                            <w:r w:rsidR="003E58DD" w:rsidRPr="0022226E">
                              <w:rPr>
                                <w:rFonts w:eastAsia="Arial Unicode MS"/>
                                <w:color w:val="000000" w:themeColor="text1"/>
                                <w:szCs w:val="22"/>
                              </w:rPr>
                              <w:t xml:space="preserve">contact </w:t>
                            </w:r>
                            <w:r w:rsidR="007312B7">
                              <w:rPr>
                                <w:rFonts w:eastAsia="Arial Unicode MS"/>
                                <w:color w:val="000000" w:themeColor="text1"/>
                                <w:szCs w:val="22"/>
                              </w:rPr>
                              <w:t>the Lender Help</w:t>
                            </w:r>
                            <w:r w:rsidR="00BA2443">
                              <w:rPr>
                                <w:rFonts w:eastAsia="Arial Unicode MS"/>
                                <w:color w:val="000000" w:themeColor="text1"/>
                                <w:szCs w:val="22"/>
                              </w:rPr>
                              <w:t xml:space="preserve"> </w:t>
                            </w:r>
                            <w:r w:rsidR="007312B7">
                              <w:rPr>
                                <w:rFonts w:eastAsia="Arial Unicode MS"/>
                                <w:color w:val="000000" w:themeColor="text1"/>
                                <w:szCs w:val="22"/>
                              </w:rPr>
                              <w:t>Desk</w:t>
                            </w:r>
                            <w:r w:rsidR="003E58DD" w:rsidRPr="0022226E">
                              <w:rPr>
                                <w:rFonts w:eastAsia="Arial Unicode MS"/>
                                <w:color w:val="000000" w:themeColor="text1"/>
                                <w:szCs w:val="22"/>
                              </w:rPr>
                              <w:t xml:space="preserve"> if you have any questions.</w:t>
                            </w:r>
                          </w:p>
                          <w:p w:rsidR="005D0D3B" w:rsidRDefault="005D0D3B" w:rsidP="005D0D3B">
                            <w:pPr>
                              <w:tabs>
                                <w:tab w:val="right" w:pos="11160"/>
                              </w:tabs>
                              <w:ind w:right="-1166"/>
                              <w:rPr>
                                <w:rFonts w:eastAsia="Arial Unicode MS"/>
                                <w:color w:val="000000" w:themeColor="text1"/>
                                <w:sz w:val="22"/>
                                <w:szCs w:val="22"/>
                              </w:rPr>
                            </w:pPr>
                          </w:p>
                          <w:p w:rsidR="005D0D3B" w:rsidRPr="00796239" w:rsidRDefault="005D0D3B" w:rsidP="005D0D3B">
                            <w:pPr>
                              <w:tabs>
                                <w:tab w:val="right" w:pos="11160"/>
                              </w:tabs>
                              <w:ind w:right="-1166"/>
                              <w:rPr>
                                <w:rFonts w:ascii="Arial Black" w:eastAsia="Arial Unicode MS" w:hAnsi="Arial Black"/>
                                <w:color w:val="193182"/>
                              </w:rPr>
                            </w:pPr>
                            <w:r>
                              <w:rPr>
                                <w:rFonts w:ascii="Arial Black" w:eastAsia="Arial Unicode MS" w:hAnsi="Arial Black"/>
                                <w:color w:val="193182"/>
                              </w:rPr>
                              <w:t>Topics in this Update include:</w:t>
                            </w:r>
                          </w:p>
                          <w:p w:rsidR="001D5BC0" w:rsidRPr="0022226E" w:rsidRDefault="00065A64" w:rsidP="001D5BC0">
                            <w:pPr>
                              <w:pStyle w:val="ListParagraph"/>
                              <w:numPr>
                                <w:ilvl w:val="0"/>
                                <w:numId w:val="1"/>
                              </w:numPr>
                              <w:tabs>
                                <w:tab w:val="right" w:pos="11160"/>
                              </w:tabs>
                              <w:spacing w:after="0" w:line="240" w:lineRule="auto"/>
                              <w:ind w:right="-1166"/>
                              <w:contextualSpacing w:val="0"/>
                              <w:rPr>
                                <w:rFonts w:ascii="Arial" w:eastAsia="Arial Unicode MS" w:hAnsi="Arial" w:cs="Arial"/>
                                <w:color w:val="000000" w:themeColor="text1"/>
                                <w:sz w:val="24"/>
                              </w:rPr>
                            </w:pPr>
                            <w:hyperlink w:anchor="Homeowner" w:history="1">
                              <w:r w:rsidR="00356864">
                                <w:rPr>
                                  <w:rStyle w:val="Hyperlink"/>
                                  <w:rFonts w:ascii="Arial" w:eastAsia="Arial Unicode MS" w:hAnsi="Arial" w:cs="Arial"/>
                                  <w:sz w:val="24"/>
                                </w:rPr>
                                <w:t xml:space="preserve">RESPA Homeowner Counseling Disclosure </w:t>
                              </w:r>
                              <w:r w:rsidR="003D5EBE">
                                <w:rPr>
                                  <w:rStyle w:val="Hyperlink"/>
                                  <w:rFonts w:ascii="Arial" w:eastAsia="Arial Unicode MS" w:hAnsi="Arial" w:cs="Arial"/>
                                  <w:sz w:val="24"/>
                                </w:rPr>
                                <w:t>–</w:t>
                              </w:r>
                              <w:r w:rsidR="00356864">
                                <w:rPr>
                                  <w:rStyle w:val="Hyperlink"/>
                                  <w:rFonts w:ascii="Arial" w:eastAsia="Arial Unicode MS" w:hAnsi="Arial" w:cs="Arial"/>
                                  <w:sz w:val="24"/>
                                </w:rPr>
                                <w:t xml:space="preserve"> Reminder</w:t>
                              </w:r>
                              <w:r w:rsidR="003D5EBE">
                                <w:rPr>
                                  <w:rStyle w:val="Hyperlink"/>
                                  <w:rFonts w:ascii="Arial" w:eastAsia="Arial Unicode MS" w:hAnsi="Arial" w:cs="Arial"/>
                                  <w:sz w:val="24"/>
                                </w:rPr>
                                <w:t xml:space="preserve"> </w:t>
                              </w:r>
                            </w:hyperlink>
                          </w:p>
                          <w:p w:rsidR="005D0D3B" w:rsidRPr="0022226E" w:rsidRDefault="00065A64" w:rsidP="005D0D3B">
                            <w:pPr>
                              <w:pStyle w:val="ListParagraph"/>
                              <w:numPr>
                                <w:ilvl w:val="0"/>
                                <w:numId w:val="1"/>
                              </w:numPr>
                              <w:tabs>
                                <w:tab w:val="right" w:pos="11160"/>
                              </w:tabs>
                              <w:spacing w:after="0" w:line="240" w:lineRule="auto"/>
                              <w:ind w:right="-1166"/>
                              <w:contextualSpacing w:val="0"/>
                              <w:rPr>
                                <w:rFonts w:ascii="Arial" w:eastAsia="Arial Unicode MS" w:hAnsi="Arial" w:cs="Arial"/>
                                <w:color w:val="000000" w:themeColor="text1"/>
                                <w:sz w:val="24"/>
                              </w:rPr>
                            </w:pPr>
                            <w:hyperlink w:anchor="NMLS" w:history="1">
                              <w:r w:rsidR="005D0D3B" w:rsidRPr="0022226E">
                                <w:rPr>
                                  <w:rStyle w:val="Hyperlink"/>
                                  <w:rFonts w:ascii="Arial" w:eastAsia="Arial Unicode MS" w:hAnsi="Arial" w:cs="Arial"/>
                                  <w:sz w:val="24"/>
                                </w:rPr>
                                <w:t>NMLS Disclosures</w:t>
                              </w:r>
                            </w:hyperlink>
                          </w:p>
                          <w:p w:rsidR="005D0D3B" w:rsidRPr="0022226E" w:rsidRDefault="00065A64" w:rsidP="005D0D3B">
                            <w:pPr>
                              <w:pStyle w:val="ListParagraph"/>
                              <w:numPr>
                                <w:ilvl w:val="0"/>
                                <w:numId w:val="1"/>
                              </w:numPr>
                              <w:tabs>
                                <w:tab w:val="right" w:pos="11160"/>
                              </w:tabs>
                              <w:spacing w:after="0" w:line="240" w:lineRule="auto"/>
                              <w:ind w:right="-1166"/>
                              <w:contextualSpacing w:val="0"/>
                              <w:rPr>
                                <w:rFonts w:ascii="Arial" w:eastAsia="Arial Unicode MS" w:hAnsi="Arial" w:cs="Arial"/>
                                <w:color w:val="000000" w:themeColor="text1"/>
                                <w:sz w:val="24"/>
                              </w:rPr>
                            </w:pPr>
                            <w:hyperlink w:anchor="ECOA_valuation" w:history="1">
                              <w:r w:rsidR="005D0D3B" w:rsidRPr="0022226E">
                                <w:rPr>
                                  <w:rStyle w:val="Hyperlink"/>
                                  <w:rFonts w:ascii="Arial" w:eastAsia="Arial Unicode MS" w:hAnsi="Arial" w:cs="Arial"/>
                                  <w:sz w:val="24"/>
                                </w:rPr>
                                <w:t>ECOA Valuations Rule</w:t>
                              </w:r>
                            </w:hyperlink>
                          </w:p>
                          <w:p w:rsidR="005D0D3B" w:rsidRPr="00576102" w:rsidRDefault="005D0D3B" w:rsidP="005D0D3B">
                            <w:pPr>
                              <w:tabs>
                                <w:tab w:val="right" w:pos="11160"/>
                              </w:tabs>
                              <w:ind w:right="-1166"/>
                              <w:rPr>
                                <w:rFonts w:eastAsia="Arial Unicode MS"/>
                                <w:color w:val="000000" w:themeColor="text1"/>
                              </w:rPr>
                            </w:pPr>
                          </w:p>
                          <w:p w:rsidR="001D5BC0" w:rsidRPr="00796239" w:rsidRDefault="00505DF8" w:rsidP="001D5BC0">
                            <w:pPr>
                              <w:tabs>
                                <w:tab w:val="right" w:pos="11160"/>
                              </w:tabs>
                              <w:ind w:right="-1166"/>
                              <w:rPr>
                                <w:rFonts w:ascii="Arial Black" w:eastAsia="Arial Unicode MS" w:hAnsi="Arial Black"/>
                                <w:color w:val="193182"/>
                              </w:rPr>
                            </w:pPr>
                            <w:bookmarkStart w:id="1" w:name="Homeowner"/>
                            <w:bookmarkEnd w:id="1"/>
                            <w:r>
                              <w:rPr>
                                <w:rFonts w:ascii="Arial Black" w:eastAsia="Arial Unicode MS" w:hAnsi="Arial Black"/>
                                <w:color w:val="193182"/>
                              </w:rPr>
                              <w:t xml:space="preserve">RESPA </w:t>
                            </w:r>
                            <w:r w:rsidR="001D5BC0">
                              <w:rPr>
                                <w:rFonts w:ascii="Arial Black" w:eastAsia="Arial Unicode MS" w:hAnsi="Arial Black"/>
                                <w:color w:val="193182"/>
                              </w:rPr>
                              <w:t>Homeowner Counseling</w:t>
                            </w:r>
                            <w:r>
                              <w:rPr>
                                <w:rFonts w:ascii="Arial Black" w:eastAsia="Arial Unicode MS" w:hAnsi="Arial Black"/>
                                <w:color w:val="193182"/>
                              </w:rPr>
                              <w:t xml:space="preserve"> Disclosure – Reminder </w:t>
                            </w:r>
                          </w:p>
                          <w:p w:rsidR="001D5BC0" w:rsidRPr="001D5BC0" w:rsidRDefault="001D5BC0" w:rsidP="001D5BC0">
                            <w:r w:rsidRPr="001D5BC0">
                              <w:t>Under new RESPA requirements</w:t>
                            </w:r>
                            <w:r w:rsidR="00C945A6">
                              <w:t xml:space="preserve"> which became effective January 10, 2014</w:t>
                            </w:r>
                            <w:r w:rsidRPr="001D5BC0">
                              <w:t xml:space="preserve">, lenders are required to provide loan applicants with a list of 10 HUD-approved counseling agencies, created no more than 30 days before </w:t>
                            </w:r>
                            <w:r w:rsidR="000A5296">
                              <w:t xml:space="preserve">it is </w:t>
                            </w:r>
                            <w:r w:rsidRPr="001D5BC0">
                              <w:t>provided to the applicant.</w:t>
                            </w:r>
                            <w:r w:rsidR="002F5A97">
                              <w:t xml:space="preserve"> The list should be based on the applicant’s current mailing </w:t>
                            </w:r>
                            <w:r w:rsidR="00552EF9">
                              <w:t xml:space="preserve">ZIP </w:t>
                            </w:r>
                            <w:r w:rsidR="002F5A97">
                              <w:t xml:space="preserve">code, unless specified differently by the applicant. </w:t>
                            </w:r>
                            <w:r w:rsidRPr="001D5BC0">
                              <w:t xml:space="preserve">Lenders must provide this list of 10 counseling agencies within three business days of receipt of a RESPA application. Lenders can go directly to the </w:t>
                            </w:r>
                            <w:hyperlink r:id="rId10" w:history="1">
                              <w:r w:rsidRPr="009A2412">
                                <w:rPr>
                                  <w:rStyle w:val="Hyperlink"/>
                                </w:rPr>
                                <w:t>CFPB Web site</w:t>
                              </w:r>
                            </w:hyperlink>
                            <w:r w:rsidRPr="001D5BC0">
                              <w:t xml:space="preserve"> for a list or may create their own using information provided by the CFPB and by HUD. </w:t>
                            </w:r>
                          </w:p>
                          <w:p w:rsidR="00A7752F" w:rsidRDefault="00A7752F" w:rsidP="003D5EBE">
                            <w:pPr>
                              <w:spacing w:before="120"/>
                            </w:pPr>
                            <w:r w:rsidRPr="001D5BC0">
                              <w:t xml:space="preserve">In bulletin </w:t>
                            </w:r>
                            <w:hyperlink r:id="rId11" w:history="1">
                              <w:r>
                                <w:rPr>
                                  <w:rStyle w:val="Hyperlink"/>
                                </w:rPr>
                                <w:t>CFPB 2013-13</w:t>
                              </w:r>
                            </w:hyperlink>
                            <w:r w:rsidRPr="001D5BC0">
                              <w:t xml:space="preserve">, the CFPB acknowledged that lenders attempting to create their own lists may not be able to develop their disclosure forms by the effective date of January 10, 2014. These lenders were allowed to provide a form that </w:t>
                            </w:r>
                            <w:r>
                              <w:t xml:space="preserve">gives </w:t>
                            </w:r>
                            <w:r w:rsidRPr="001D5BC0">
                              <w:t xml:space="preserve">applicants a link to the </w:t>
                            </w:r>
                            <w:hyperlink r:id="rId12" w:history="1">
                              <w:r w:rsidRPr="008D1865">
                                <w:rPr>
                                  <w:rStyle w:val="Hyperlink"/>
                                </w:rPr>
                                <w:t>CFPB housing counseling Web site</w:t>
                              </w:r>
                            </w:hyperlink>
                            <w:r w:rsidRPr="001D5BC0">
                              <w:t>.</w:t>
                            </w:r>
                          </w:p>
                          <w:p w:rsidR="001D5BC0" w:rsidRPr="001D5BC0" w:rsidRDefault="003C56C0" w:rsidP="003D5EBE">
                            <w:pPr>
                              <w:spacing w:before="120"/>
                            </w:pPr>
                            <w:r w:rsidRPr="003C56C0">
                              <w:t>U.S. Bank Home Mortgage</w:t>
                            </w:r>
                            <w:r>
                              <w:t xml:space="preserve"> (USBHM)</w:t>
                            </w:r>
                            <w:r w:rsidR="001D5BC0" w:rsidRPr="001D5BC0">
                              <w:t xml:space="preserve"> </w:t>
                            </w:r>
                            <w:r w:rsidR="007312B7">
                              <w:t xml:space="preserve">MRBP </w:t>
                            </w:r>
                            <w:r w:rsidR="001D5BC0" w:rsidRPr="001D5BC0">
                              <w:t xml:space="preserve">will </w:t>
                            </w:r>
                            <w:r>
                              <w:t xml:space="preserve">continue accepting </w:t>
                            </w:r>
                            <w:r w:rsidR="001D5BC0" w:rsidRPr="001D5BC0">
                              <w:t xml:space="preserve">applications </w:t>
                            </w:r>
                            <w:r>
                              <w:t>t</w:t>
                            </w:r>
                            <w:r w:rsidR="001D5BC0" w:rsidRPr="001D5BC0">
                              <w:t xml:space="preserve">hat demonstrate compliance with this RESPA requirement by </w:t>
                            </w:r>
                            <w:r w:rsidR="009B2239">
                              <w:t xml:space="preserve">accomplishing </w:t>
                            </w:r>
                            <w:r w:rsidR="001D5BC0" w:rsidRPr="001D5BC0">
                              <w:t xml:space="preserve">either of the following: </w:t>
                            </w:r>
                          </w:p>
                          <w:p w:rsidR="001D5BC0" w:rsidRDefault="001D5BC0" w:rsidP="0094604B">
                            <w:pPr>
                              <w:pStyle w:val="ListParagraph"/>
                              <w:numPr>
                                <w:ilvl w:val="0"/>
                                <w:numId w:val="4"/>
                              </w:numPr>
                              <w:spacing w:before="120" w:after="0" w:line="240" w:lineRule="auto"/>
                              <w:contextualSpacing w:val="0"/>
                              <w:rPr>
                                <w:rFonts w:ascii="Arial" w:hAnsi="Arial" w:cs="Arial"/>
                                <w:sz w:val="24"/>
                                <w:szCs w:val="24"/>
                              </w:rPr>
                            </w:pPr>
                            <w:r w:rsidRPr="001D5BC0">
                              <w:rPr>
                                <w:rFonts w:ascii="Arial" w:hAnsi="Arial" w:cs="Arial"/>
                                <w:sz w:val="24"/>
                                <w:szCs w:val="24"/>
                              </w:rPr>
                              <w:t>Provide a compliant disclosure</w:t>
                            </w:r>
                            <w:r w:rsidR="009B2239">
                              <w:rPr>
                                <w:rFonts w:ascii="Arial" w:hAnsi="Arial" w:cs="Arial"/>
                                <w:sz w:val="24"/>
                                <w:szCs w:val="24"/>
                              </w:rPr>
                              <w:t>,</w:t>
                            </w:r>
                            <w:r w:rsidRPr="001D5BC0">
                              <w:rPr>
                                <w:rFonts w:ascii="Arial" w:hAnsi="Arial" w:cs="Arial"/>
                                <w:sz w:val="24"/>
                                <w:szCs w:val="24"/>
                              </w:rPr>
                              <w:t xml:space="preserve"> within three business days</w:t>
                            </w:r>
                            <w:r w:rsidR="000C2A36">
                              <w:rPr>
                                <w:rFonts w:ascii="Arial" w:hAnsi="Arial" w:cs="Arial"/>
                                <w:sz w:val="24"/>
                                <w:szCs w:val="24"/>
                              </w:rPr>
                              <w:t xml:space="preserve"> of the initial application</w:t>
                            </w:r>
                            <w:r w:rsidR="009B2239">
                              <w:rPr>
                                <w:rFonts w:ascii="Arial" w:hAnsi="Arial" w:cs="Arial"/>
                                <w:sz w:val="24"/>
                                <w:szCs w:val="24"/>
                              </w:rPr>
                              <w:t>,</w:t>
                            </w:r>
                            <w:r w:rsidRPr="001D5BC0">
                              <w:rPr>
                                <w:rFonts w:ascii="Arial" w:hAnsi="Arial" w:cs="Arial"/>
                                <w:sz w:val="24"/>
                                <w:szCs w:val="24"/>
                              </w:rPr>
                              <w:t xml:space="preserve"> which contains a current list of 10 counseling agencies based on the applicant’s current ZIP code</w:t>
                            </w:r>
                            <w:r w:rsidR="00025E4A">
                              <w:rPr>
                                <w:rFonts w:ascii="Arial" w:hAnsi="Arial" w:cs="Arial"/>
                                <w:sz w:val="24"/>
                                <w:szCs w:val="24"/>
                              </w:rPr>
                              <w:t>.</w:t>
                            </w:r>
                          </w:p>
                          <w:p w:rsidR="00025E4A" w:rsidRPr="00025E4A" w:rsidRDefault="006F78F2" w:rsidP="00025E4A">
                            <w:pPr>
                              <w:spacing w:before="120"/>
                              <w:ind w:left="720"/>
                            </w:pPr>
                            <w:r>
                              <w:t>Or</w:t>
                            </w:r>
                          </w:p>
                          <w:p w:rsidR="006F78F2" w:rsidRPr="006F78F2" w:rsidRDefault="001D5BC0" w:rsidP="005D0D3B">
                            <w:pPr>
                              <w:pStyle w:val="ListParagraph"/>
                              <w:numPr>
                                <w:ilvl w:val="0"/>
                                <w:numId w:val="4"/>
                              </w:numPr>
                              <w:tabs>
                                <w:tab w:val="right" w:pos="11160"/>
                              </w:tabs>
                              <w:spacing w:before="120" w:after="0" w:line="240" w:lineRule="auto"/>
                              <w:ind w:right="-1166"/>
                              <w:contextualSpacing w:val="0"/>
                              <w:rPr>
                                <w:rFonts w:ascii="Arial" w:eastAsia="Arial Unicode MS" w:hAnsi="Arial" w:cs="Arial"/>
                              </w:rPr>
                            </w:pPr>
                            <w:r w:rsidRPr="001D5BC0">
                              <w:rPr>
                                <w:rFonts w:ascii="Arial" w:hAnsi="Arial" w:cs="Arial"/>
                                <w:sz w:val="24"/>
                                <w:szCs w:val="24"/>
                              </w:rPr>
                              <w:t xml:space="preserve">If a lender is still working with their software vendor in good faith to incorporate the list of counseling </w:t>
                            </w:r>
                            <w:r w:rsidR="000B24AE">
                              <w:rPr>
                                <w:rFonts w:ascii="Arial" w:hAnsi="Arial" w:cs="Arial"/>
                                <w:sz w:val="24"/>
                                <w:szCs w:val="24"/>
                              </w:rPr>
                              <w:br/>
                            </w:r>
                            <w:r w:rsidRPr="001D5BC0">
                              <w:rPr>
                                <w:rFonts w:ascii="Arial" w:hAnsi="Arial" w:cs="Arial"/>
                                <w:sz w:val="24"/>
                                <w:szCs w:val="24"/>
                              </w:rPr>
                              <w:t xml:space="preserve">agencies into their loan origination system, the lender </w:t>
                            </w:r>
                            <w:r w:rsidR="003C56C0">
                              <w:rPr>
                                <w:rFonts w:ascii="Arial" w:hAnsi="Arial" w:cs="Arial"/>
                                <w:sz w:val="24"/>
                                <w:szCs w:val="24"/>
                              </w:rPr>
                              <w:t xml:space="preserve">may </w:t>
                            </w:r>
                            <w:r w:rsidRPr="001D5BC0">
                              <w:rPr>
                                <w:rFonts w:ascii="Arial" w:hAnsi="Arial" w:cs="Arial"/>
                                <w:sz w:val="24"/>
                                <w:szCs w:val="24"/>
                              </w:rPr>
                              <w:t xml:space="preserve">provide a disclosure which contains a </w:t>
                            </w:r>
                            <w:r w:rsidR="000B24AE">
                              <w:rPr>
                                <w:rFonts w:ascii="Arial" w:hAnsi="Arial" w:cs="Arial"/>
                                <w:sz w:val="24"/>
                                <w:szCs w:val="24"/>
                              </w:rPr>
                              <w:br/>
                            </w:r>
                            <w:r w:rsidRPr="001D5BC0">
                              <w:rPr>
                                <w:rFonts w:ascii="Arial" w:hAnsi="Arial" w:cs="Arial"/>
                                <w:sz w:val="24"/>
                                <w:szCs w:val="24"/>
                              </w:rPr>
                              <w:t xml:space="preserve">link to the CFPB housing counseling Web site in the bulletin’s suggested format. </w:t>
                            </w:r>
                          </w:p>
                          <w:p w:rsidR="005D0D3B" w:rsidRPr="007F708C" w:rsidRDefault="002F4AD1" w:rsidP="006F78F2">
                            <w:pPr>
                              <w:tabs>
                                <w:tab w:val="right" w:pos="11160"/>
                              </w:tabs>
                              <w:spacing w:before="120"/>
                              <w:ind w:left="720" w:right="-1166"/>
                              <w:rPr>
                                <w:rFonts w:eastAsia="Arial Unicode MS"/>
                                <w:b/>
                                <w:sz w:val="22"/>
                                <w:szCs w:val="22"/>
                              </w:rPr>
                            </w:pPr>
                            <w:r w:rsidRPr="007F708C">
                              <w:rPr>
                                <w:b/>
                              </w:rPr>
                              <w:t>T</w:t>
                            </w:r>
                            <w:r w:rsidR="002F5A97" w:rsidRPr="007F708C">
                              <w:rPr>
                                <w:b/>
                              </w:rPr>
                              <w:t xml:space="preserve">his alternative Homeownership Counseling Disclosure will be accepted on applications </w:t>
                            </w:r>
                            <w:r w:rsidR="007F708C">
                              <w:rPr>
                                <w:b/>
                              </w:rPr>
                              <w:br/>
                            </w:r>
                            <w:r w:rsidR="002F5A97" w:rsidRPr="007F708C">
                              <w:rPr>
                                <w:b/>
                              </w:rPr>
                              <w:t xml:space="preserve">(1003s) dated </w:t>
                            </w:r>
                            <w:r w:rsidR="000B24AE" w:rsidRPr="007F708C">
                              <w:rPr>
                                <w:b/>
                              </w:rPr>
                              <w:t xml:space="preserve">on or after July 10, 2014 only if the lender includes a letter stating that the </w:t>
                            </w:r>
                            <w:r w:rsidR="007F708C">
                              <w:rPr>
                                <w:b/>
                              </w:rPr>
                              <w:br/>
                            </w:r>
                            <w:r w:rsidR="000B24AE" w:rsidRPr="007F708C">
                              <w:rPr>
                                <w:b/>
                              </w:rPr>
                              <w:t xml:space="preserve">lender is working in good faith with a software vendor to incorporate the list of 10 </w:t>
                            </w:r>
                            <w:r w:rsidR="007F708C">
                              <w:rPr>
                                <w:b/>
                              </w:rPr>
                              <w:br/>
                            </w:r>
                            <w:r w:rsidR="000B24AE" w:rsidRPr="007F708C">
                              <w:rPr>
                                <w:b/>
                              </w:rPr>
                              <w:t xml:space="preserve">counseling agencies, and the letter also states a date when the lender will have the ability </w:t>
                            </w:r>
                            <w:r w:rsidR="007F708C">
                              <w:rPr>
                                <w:b/>
                              </w:rPr>
                              <w:br/>
                            </w:r>
                            <w:r w:rsidR="000B24AE" w:rsidRPr="007F708C">
                              <w:rPr>
                                <w:b/>
                              </w:rPr>
                              <w:t>to provide a fully compliant RESPA HOC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1D808" id="_x0000_t202" coordsize="21600,21600" o:spt="202" path="m,l,21600r21600,l21600,xe">
                <v:stroke joinstyle="miter"/>
                <v:path gradientshapeok="t" o:connecttype="rect"/>
              </v:shapetype>
              <v:shape id="Text Box 2" o:spid="_x0000_s1026" type="#_x0000_t202" style="position:absolute;margin-left:-15.65pt;margin-top:103.9pt;width:574.85pt;height:57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" filled="f" stroked="f">
                <v:textbox>
                  <w:txbxContent>
                    <w:p w:rsidR="005D0D3B" w:rsidRDefault="005D0D3B" w:rsidP="00C848DC">
                      <w:pPr>
                        <w:tabs>
                          <w:tab w:val="right" w:pos="11160"/>
                        </w:tabs>
                        <w:ind w:right="-1166"/>
                        <w:rPr>
                          <w:rFonts w:ascii="Arial Black" w:eastAsia="Arial Unicode MS" w:hAnsi="Arial Black"/>
                          <w:color w:val="000000" w:themeColor="text1"/>
                          <w:szCs w:val="32"/>
                        </w:rPr>
                      </w:pPr>
                      <w:r w:rsidRPr="008F15EB">
                        <w:rPr>
                          <w:rFonts w:ascii="Arial Black" w:eastAsia="Arial Unicode MS" w:hAnsi="Arial Black"/>
                          <w:color w:val="000000" w:themeColor="text1"/>
                          <w:szCs w:val="32"/>
                        </w:rPr>
                        <w:t xml:space="preserve">Attn: </w:t>
                      </w:r>
                      <w:r w:rsidR="007312B7">
                        <w:rPr>
                          <w:rFonts w:ascii="Arial Black" w:eastAsia="Arial Unicode MS" w:hAnsi="Arial Black"/>
                          <w:color w:val="000000" w:themeColor="text1"/>
                          <w:szCs w:val="32"/>
                        </w:rPr>
                        <w:t xml:space="preserve">MRBP </w:t>
                      </w:r>
                      <w:r w:rsidR="00A85B9C">
                        <w:rPr>
                          <w:rFonts w:ascii="Arial Black" w:eastAsia="Arial Unicode MS" w:hAnsi="Arial Black"/>
                          <w:color w:val="000000" w:themeColor="text1"/>
                          <w:szCs w:val="32"/>
                        </w:rPr>
                        <w:t>Lenders</w:t>
                      </w:r>
                    </w:p>
                    <w:p w:rsidR="005D0D3B" w:rsidRPr="00C848DC" w:rsidRDefault="005D0D3B" w:rsidP="00C848DC">
                      <w:pPr>
                        <w:tabs>
                          <w:tab w:val="right" w:pos="11160"/>
                        </w:tabs>
                        <w:ind w:right="-1166"/>
                        <w:rPr>
                          <w:rFonts w:ascii="Arial Black" w:eastAsia="Times New Roman" w:hAnsi="Arial Black"/>
                          <w:color w:val="193182"/>
                          <w:sz w:val="8"/>
                          <w:szCs w:val="8"/>
                        </w:rPr>
                      </w:pPr>
                    </w:p>
                    <w:p w:rsidR="005D0D3B" w:rsidRPr="00991250" w:rsidRDefault="005D0D3B" w:rsidP="00C848DC">
                      <w:pPr>
                        <w:tabs>
                          <w:tab w:val="right" w:pos="11160"/>
                        </w:tabs>
                        <w:ind w:right="-1166"/>
                        <w:rPr>
                          <w:rFonts w:ascii="Arial Black" w:eastAsia="Arial Unicode MS" w:hAnsi="Arial Black"/>
                          <w:color w:val="193182"/>
                          <w:sz w:val="32"/>
                          <w:szCs w:val="32"/>
                        </w:rPr>
                      </w:pPr>
                      <w:r>
                        <w:rPr>
                          <w:rFonts w:ascii="Arial Black" w:eastAsia="Arial Unicode MS" w:hAnsi="Arial Black"/>
                          <w:color w:val="193182"/>
                          <w:sz w:val="32"/>
                          <w:szCs w:val="32"/>
                        </w:rPr>
                        <w:t xml:space="preserve">Dodd-Frank </w:t>
                      </w:r>
                      <w:r w:rsidR="001B1A80">
                        <w:rPr>
                          <w:rFonts w:ascii="Arial Black" w:eastAsia="Arial Unicode MS" w:hAnsi="Arial Black"/>
                          <w:color w:val="193182"/>
                          <w:sz w:val="32"/>
                          <w:szCs w:val="32"/>
                        </w:rPr>
                        <w:t>Compliance</w:t>
                      </w:r>
                      <w:r>
                        <w:rPr>
                          <w:rFonts w:ascii="Arial Black" w:eastAsia="Arial Unicode MS" w:hAnsi="Arial Black"/>
                          <w:color w:val="193182"/>
                          <w:sz w:val="32"/>
                          <w:szCs w:val="32"/>
                        </w:rPr>
                        <w:tab/>
                      </w:r>
                      <w:r w:rsidR="005F5EC3">
                        <w:rPr>
                          <w:rFonts w:ascii="Arial Black" w:eastAsia="Times New Roman" w:hAnsi="Arial Black"/>
                          <w:color w:val="193182"/>
                          <w:szCs w:val="38"/>
                        </w:rPr>
                        <w:t>Ju</w:t>
                      </w:r>
                      <w:r w:rsidR="00C848DC">
                        <w:rPr>
                          <w:rFonts w:ascii="Arial Black" w:eastAsia="Times New Roman" w:hAnsi="Arial Black"/>
                          <w:color w:val="193182"/>
                          <w:szCs w:val="38"/>
                        </w:rPr>
                        <w:t>ly</w:t>
                      </w:r>
                      <w:r w:rsidR="00EC0A4A">
                        <w:rPr>
                          <w:rFonts w:ascii="Arial Black" w:eastAsia="Times New Roman" w:hAnsi="Arial Black"/>
                          <w:color w:val="193182"/>
                          <w:szCs w:val="38"/>
                        </w:rPr>
                        <w:t xml:space="preserve"> </w:t>
                      </w:r>
                      <w:r w:rsidR="00D71244">
                        <w:rPr>
                          <w:rFonts w:ascii="Arial Black" w:eastAsia="Times New Roman" w:hAnsi="Arial Black"/>
                          <w:color w:val="193182"/>
                          <w:szCs w:val="38"/>
                        </w:rPr>
                        <w:t>1</w:t>
                      </w:r>
                      <w:r w:rsidR="00E426C5">
                        <w:rPr>
                          <w:rFonts w:ascii="Arial Black" w:eastAsia="Times New Roman" w:hAnsi="Arial Black"/>
                          <w:color w:val="193182"/>
                          <w:szCs w:val="38"/>
                        </w:rPr>
                        <w:t>5</w:t>
                      </w:r>
                      <w:r w:rsidR="00EC0A4A">
                        <w:rPr>
                          <w:rFonts w:ascii="Arial Black" w:eastAsia="Times New Roman" w:hAnsi="Arial Black"/>
                          <w:color w:val="193182"/>
                          <w:szCs w:val="38"/>
                        </w:rPr>
                        <w:t xml:space="preserve">, </w:t>
                      </w:r>
                      <w:r>
                        <w:rPr>
                          <w:rFonts w:ascii="Arial Black" w:eastAsia="Times New Roman" w:hAnsi="Arial Black"/>
                          <w:color w:val="193182"/>
                          <w:szCs w:val="38"/>
                        </w:rPr>
                        <w:t>2014</w:t>
                      </w:r>
                    </w:p>
                    <w:p w:rsidR="005D0D3B" w:rsidRPr="0022226E" w:rsidRDefault="0094604B" w:rsidP="005D0D3B">
                      <w:pPr>
                        <w:tabs>
                          <w:tab w:val="right" w:pos="11160"/>
                        </w:tabs>
                        <w:ind w:right="-1166"/>
                        <w:rPr>
                          <w:rFonts w:eastAsia="Arial Unicode MS"/>
                          <w:color w:val="000000" w:themeColor="text1"/>
                          <w:szCs w:val="22"/>
                        </w:rPr>
                      </w:pPr>
                      <w:r w:rsidRPr="0022226E">
                        <w:rPr>
                          <w:rFonts w:eastAsia="Arial Unicode MS"/>
                          <w:color w:val="000000" w:themeColor="text1"/>
                          <w:szCs w:val="22"/>
                        </w:rPr>
                        <w:t xml:space="preserve">This Lender Operations Update includes three important </w:t>
                      </w:r>
                      <w:r w:rsidR="001B1A80" w:rsidRPr="0022226E">
                        <w:rPr>
                          <w:rFonts w:eastAsia="Arial Unicode MS"/>
                          <w:color w:val="000000" w:themeColor="text1"/>
                          <w:szCs w:val="22"/>
                        </w:rPr>
                        <w:t>reminders</w:t>
                      </w:r>
                      <w:r w:rsidRPr="0022226E">
                        <w:rPr>
                          <w:rFonts w:eastAsia="Arial Unicode MS"/>
                          <w:color w:val="000000" w:themeColor="text1"/>
                          <w:szCs w:val="22"/>
                        </w:rPr>
                        <w:t xml:space="preserve"> to </w:t>
                      </w:r>
                      <w:r w:rsidR="00454B16" w:rsidRPr="0022226E">
                        <w:rPr>
                          <w:rFonts w:eastAsia="Arial Unicode MS"/>
                          <w:color w:val="000000" w:themeColor="text1"/>
                          <w:szCs w:val="22"/>
                        </w:rPr>
                        <w:t xml:space="preserve">help avoid delays or purchase </w:t>
                      </w:r>
                      <w:r w:rsidR="00BF2612">
                        <w:rPr>
                          <w:rFonts w:eastAsia="Arial Unicode MS"/>
                          <w:color w:val="000000" w:themeColor="text1"/>
                          <w:szCs w:val="22"/>
                        </w:rPr>
                        <w:br/>
                      </w:r>
                      <w:r w:rsidR="00454B16" w:rsidRPr="0022226E">
                        <w:rPr>
                          <w:rFonts w:eastAsia="Arial Unicode MS"/>
                          <w:color w:val="000000" w:themeColor="text1"/>
                          <w:szCs w:val="22"/>
                        </w:rPr>
                        <w:t xml:space="preserve">rejections. </w:t>
                      </w:r>
                      <w:r w:rsidRPr="0022226E">
                        <w:rPr>
                          <w:rFonts w:eastAsia="Arial Unicode MS"/>
                          <w:color w:val="000000" w:themeColor="text1"/>
                          <w:szCs w:val="22"/>
                        </w:rPr>
                        <w:t xml:space="preserve">Please </w:t>
                      </w:r>
                      <w:r w:rsidR="001B1A80" w:rsidRPr="0022226E">
                        <w:rPr>
                          <w:rFonts w:eastAsia="Arial Unicode MS"/>
                          <w:color w:val="000000" w:themeColor="text1"/>
                          <w:szCs w:val="22"/>
                        </w:rPr>
                        <w:t xml:space="preserve">review </w:t>
                      </w:r>
                      <w:r w:rsidRPr="0022226E">
                        <w:rPr>
                          <w:rFonts w:eastAsia="Arial Unicode MS"/>
                          <w:color w:val="000000" w:themeColor="text1"/>
                          <w:szCs w:val="22"/>
                        </w:rPr>
                        <w:t xml:space="preserve">these topics and </w:t>
                      </w:r>
                      <w:r w:rsidR="003E58DD" w:rsidRPr="0022226E">
                        <w:rPr>
                          <w:rFonts w:eastAsia="Arial Unicode MS"/>
                          <w:color w:val="000000" w:themeColor="text1"/>
                          <w:szCs w:val="22"/>
                        </w:rPr>
                        <w:t xml:space="preserve">contact </w:t>
                      </w:r>
                      <w:r w:rsidR="007312B7">
                        <w:rPr>
                          <w:rFonts w:eastAsia="Arial Unicode MS"/>
                          <w:color w:val="000000" w:themeColor="text1"/>
                          <w:szCs w:val="22"/>
                        </w:rPr>
                        <w:t>the Lender Help</w:t>
                      </w:r>
                      <w:r w:rsidR="00BA2443">
                        <w:rPr>
                          <w:rFonts w:eastAsia="Arial Unicode MS"/>
                          <w:color w:val="000000" w:themeColor="text1"/>
                          <w:szCs w:val="22"/>
                        </w:rPr>
                        <w:t xml:space="preserve"> </w:t>
                      </w:r>
                      <w:r w:rsidR="007312B7">
                        <w:rPr>
                          <w:rFonts w:eastAsia="Arial Unicode MS"/>
                          <w:color w:val="000000" w:themeColor="text1"/>
                          <w:szCs w:val="22"/>
                        </w:rPr>
                        <w:t>Desk</w:t>
                      </w:r>
                      <w:r w:rsidR="003E58DD" w:rsidRPr="0022226E">
                        <w:rPr>
                          <w:rFonts w:eastAsia="Arial Unicode MS"/>
                          <w:color w:val="000000" w:themeColor="text1"/>
                          <w:szCs w:val="22"/>
                        </w:rPr>
                        <w:t xml:space="preserve"> if you have any questions.</w:t>
                      </w:r>
                    </w:p>
                    <w:p w:rsidR="005D0D3B" w:rsidRDefault="005D0D3B" w:rsidP="005D0D3B">
                      <w:pPr>
                        <w:tabs>
                          <w:tab w:val="right" w:pos="11160"/>
                        </w:tabs>
                        <w:ind w:right="-1166"/>
                        <w:rPr>
                          <w:rFonts w:eastAsia="Arial Unicode MS"/>
                          <w:color w:val="000000" w:themeColor="text1"/>
                          <w:sz w:val="22"/>
                          <w:szCs w:val="22"/>
                        </w:rPr>
                      </w:pPr>
                    </w:p>
                    <w:p w:rsidR="005D0D3B" w:rsidRPr="00796239" w:rsidRDefault="005D0D3B" w:rsidP="005D0D3B">
                      <w:pPr>
                        <w:tabs>
                          <w:tab w:val="right" w:pos="11160"/>
                        </w:tabs>
                        <w:ind w:right="-1166"/>
                        <w:rPr>
                          <w:rFonts w:ascii="Arial Black" w:eastAsia="Arial Unicode MS" w:hAnsi="Arial Black"/>
                          <w:color w:val="193182"/>
                        </w:rPr>
                      </w:pPr>
                      <w:r>
                        <w:rPr>
                          <w:rFonts w:ascii="Arial Black" w:eastAsia="Arial Unicode MS" w:hAnsi="Arial Black"/>
                          <w:color w:val="193182"/>
                        </w:rPr>
                        <w:t>Topics in this Update include:</w:t>
                      </w:r>
                    </w:p>
                    <w:p w:rsidR="001D5BC0" w:rsidRPr="0022226E" w:rsidRDefault="00065A64" w:rsidP="001D5BC0">
                      <w:pPr>
                        <w:pStyle w:val="ListParagraph"/>
                        <w:numPr>
                          <w:ilvl w:val="0"/>
                          <w:numId w:val="1"/>
                        </w:numPr>
                        <w:tabs>
                          <w:tab w:val="right" w:pos="11160"/>
                        </w:tabs>
                        <w:spacing w:after="0" w:line="240" w:lineRule="auto"/>
                        <w:ind w:right="-1166"/>
                        <w:contextualSpacing w:val="0"/>
                        <w:rPr>
                          <w:rFonts w:ascii="Arial" w:eastAsia="Arial Unicode MS" w:hAnsi="Arial" w:cs="Arial"/>
                          <w:color w:val="000000" w:themeColor="text1"/>
                          <w:sz w:val="24"/>
                        </w:rPr>
                      </w:pPr>
                      <w:hyperlink w:anchor="Homeowner" w:history="1">
                        <w:r w:rsidR="00356864">
                          <w:rPr>
                            <w:rStyle w:val="Hyperlink"/>
                            <w:rFonts w:ascii="Arial" w:eastAsia="Arial Unicode MS" w:hAnsi="Arial" w:cs="Arial"/>
                            <w:sz w:val="24"/>
                          </w:rPr>
                          <w:t xml:space="preserve">RESPA Homeowner Counseling Disclosure </w:t>
                        </w:r>
                        <w:r w:rsidR="003D5EBE">
                          <w:rPr>
                            <w:rStyle w:val="Hyperlink"/>
                            <w:rFonts w:ascii="Arial" w:eastAsia="Arial Unicode MS" w:hAnsi="Arial" w:cs="Arial"/>
                            <w:sz w:val="24"/>
                          </w:rPr>
                          <w:t>–</w:t>
                        </w:r>
                        <w:r w:rsidR="00356864">
                          <w:rPr>
                            <w:rStyle w:val="Hyperlink"/>
                            <w:rFonts w:ascii="Arial" w:eastAsia="Arial Unicode MS" w:hAnsi="Arial" w:cs="Arial"/>
                            <w:sz w:val="24"/>
                          </w:rPr>
                          <w:t xml:space="preserve"> Reminder</w:t>
                        </w:r>
                        <w:r w:rsidR="003D5EBE">
                          <w:rPr>
                            <w:rStyle w:val="Hyperlink"/>
                            <w:rFonts w:ascii="Arial" w:eastAsia="Arial Unicode MS" w:hAnsi="Arial" w:cs="Arial"/>
                            <w:sz w:val="24"/>
                          </w:rPr>
                          <w:t xml:space="preserve"> </w:t>
                        </w:r>
                      </w:hyperlink>
                    </w:p>
                    <w:p w:rsidR="005D0D3B" w:rsidRPr="0022226E" w:rsidRDefault="00065A64" w:rsidP="005D0D3B">
                      <w:pPr>
                        <w:pStyle w:val="ListParagraph"/>
                        <w:numPr>
                          <w:ilvl w:val="0"/>
                          <w:numId w:val="1"/>
                        </w:numPr>
                        <w:tabs>
                          <w:tab w:val="right" w:pos="11160"/>
                        </w:tabs>
                        <w:spacing w:after="0" w:line="240" w:lineRule="auto"/>
                        <w:ind w:right="-1166"/>
                        <w:contextualSpacing w:val="0"/>
                        <w:rPr>
                          <w:rFonts w:ascii="Arial" w:eastAsia="Arial Unicode MS" w:hAnsi="Arial" w:cs="Arial"/>
                          <w:color w:val="000000" w:themeColor="text1"/>
                          <w:sz w:val="24"/>
                        </w:rPr>
                      </w:pPr>
                      <w:hyperlink w:anchor="NMLS" w:history="1">
                        <w:r w:rsidR="005D0D3B" w:rsidRPr="0022226E">
                          <w:rPr>
                            <w:rStyle w:val="Hyperlink"/>
                            <w:rFonts w:ascii="Arial" w:eastAsia="Arial Unicode MS" w:hAnsi="Arial" w:cs="Arial"/>
                            <w:sz w:val="24"/>
                          </w:rPr>
                          <w:t>NMLS Disclosures</w:t>
                        </w:r>
                      </w:hyperlink>
                    </w:p>
                    <w:p w:rsidR="005D0D3B" w:rsidRPr="0022226E" w:rsidRDefault="00065A64" w:rsidP="005D0D3B">
                      <w:pPr>
                        <w:pStyle w:val="ListParagraph"/>
                        <w:numPr>
                          <w:ilvl w:val="0"/>
                          <w:numId w:val="1"/>
                        </w:numPr>
                        <w:tabs>
                          <w:tab w:val="right" w:pos="11160"/>
                        </w:tabs>
                        <w:spacing w:after="0" w:line="240" w:lineRule="auto"/>
                        <w:ind w:right="-1166"/>
                        <w:contextualSpacing w:val="0"/>
                        <w:rPr>
                          <w:rFonts w:ascii="Arial" w:eastAsia="Arial Unicode MS" w:hAnsi="Arial" w:cs="Arial"/>
                          <w:color w:val="000000" w:themeColor="text1"/>
                          <w:sz w:val="24"/>
                        </w:rPr>
                      </w:pPr>
                      <w:hyperlink w:anchor="ECOA_valuation" w:history="1">
                        <w:r w:rsidR="005D0D3B" w:rsidRPr="0022226E">
                          <w:rPr>
                            <w:rStyle w:val="Hyperlink"/>
                            <w:rFonts w:ascii="Arial" w:eastAsia="Arial Unicode MS" w:hAnsi="Arial" w:cs="Arial"/>
                            <w:sz w:val="24"/>
                          </w:rPr>
                          <w:t>ECOA Valuations Rule</w:t>
                        </w:r>
                      </w:hyperlink>
                    </w:p>
                    <w:p w:rsidR="005D0D3B" w:rsidRPr="00576102" w:rsidRDefault="005D0D3B" w:rsidP="005D0D3B">
                      <w:pPr>
                        <w:tabs>
                          <w:tab w:val="right" w:pos="11160"/>
                        </w:tabs>
                        <w:ind w:right="-1166"/>
                        <w:rPr>
                          <w:rFonts w:eastAsia="Arial Unicode MS"/>
                          <w:color w:val="000000" w:themeColor="text1"/>
                        </w:rPr>
                      </w:pPr>
                    </w:p>
                    <w:p w:rsidR="001D5BC0" w:rsidRPr="00796239" w:rsidRDefault="00505DF8" w:rsidP="001D5BC0">
                      <w:pPr>
                        <w:tabs>
                          <w:tab w:val="right" w:pos="11160"/>
                        </w:tabs>
                        <w:ind w:right="-1166"/>
                        <w:rPr>
                          <w:rFonts w:ascii="Arial Black" w:eastAsia="Arial Unicode MS" w:hAnsi="Arial Black"/>
                          <w:color w:val="193182"/>
                        </w:rPr>
                      </w:pPr>
                      <w:bookmarkStart w:id="2" w:name="Homeowner"/>
                      <w:bookmarkEnd w:id="2"/>
                      <w:r>
                        <w:rPr>
                          <w:rFonts w:ascii="Arial Black" w:eastAsia="Arial Unicode MS" w:hAnsi="Arial Black"/>
                          <w:color w:val="193182"/>
                        </w:rPr>
                        <w:t xml:space="preserve">RESPA </w:t>
                      </w:r>
                      <w:r w:rsidR="001D5BC0">
                        <w:rPr>
                          <w:rFonts w:ascii="Arial Black" w:eastAsia="Arial Unicode MS" w:hAnsi="Arial Black"/>
                          <w:color w:val="193182"/>
                        </w:rPr>
                        <w:t>Homeowner Counseling</w:t>
                      </w:r>
                      <w:r>
                        <w:rPr>
                          <w:rFonts w:ascii="Arial Black" w:eastAsia="Arial Unicode MS" w:hAnsi="Arial Black"/>
                          <w:color w:val="193182"/>
                        </w:rPr>
                        <w:t xml:space="preserve"> Disclosure – Reminder </w:t>
                      </w:r>
                    </w:p>
                    <w:p w:rsidR="001D5BC0" w:rsidRPr="001D5BC0" w:rsidRDefault="001D5BC0" w:rsidP="001D5BC0">
                      <w:r w:rsidRPr="001D5BC0">
                        <w:t>Under new RESPA requirements</w:t>
                      </w:r>
                      <w:r w:rsidR="00C945A6">
                        <w:t xml:space="preserve"> which became effective January 10, 2014</w:t>
                      </w:r>
                      <w:r w:rsidRPr="001D5BC0">
                        <w:t xml:space="preserve">, lenders are required to provide loan applicants with a list of 10 HUD-approved counseling agencies, created no more than 30 days before </w:t>
                      </w:r>
                      <w:r w:rsidR="000A5296">
                        <w:t xml:space="preserve">it is </w:t>
                      </w:r>
                      <w:r w:rsidRPr="001D5BC0">
                        <w:t>provided to the applicant.</w:t>
                      </w:r>
                      <w:r w:rsidR="002F5A97">
                        <w:t xml:space="preserve"> The list should be based on the applicant’s current mailing </w:t>
                      </w:r>
                      <w:r w:rsidR="00552EF9">
                        <w:t xml:space="preserve">ZIP </w:t>
                      </w:r>
                      <w:r w:rsidR="002F5A97">
                        <w:t xml:space="preserve">code, unless specified differently by the applicant. </w:t>
                      </w:r>
                      <w:r w:rsidRPr="001D5BC0">
                        <w:t xml:space="preserve">Lenders must provide this list of 10 counseling agencies within three business days of receipt of a RESPA application. Lenders can go directly to the </w:t>
                      </w:r>
                      <w:hyperlink r:id="rId13" w:history="1">
                        <w:r w:rsidRPr="009A2412">
                          <w:rPr>
                            <w:rStyle w:val="Hyperlink"/>
                          </w:rPr>
                          <w:t>CFPB Web site</w:t>
                        </w:r>
                      </w:hyperlink>
                      <w:r w:rsidRPr="001D5BC0">
                        <w:t xml:space="preserve"> for a list or may create their own using information provided by the CFPB and by HUD. </w:t>
                      </w:r>
                    </w:p>
                    <w:p w:rsidR="00A7752F" w:rsidRDefault="00A7752F" w:rsidP="003D5EBE">
                      <w:pPr>
                        <w:spacing w:before="120"/>
                      </w:pPr>
                      <w:r w:rsidRPr="001D5BC0">
                        <w:t xml:space="preserve">In bulletin </w:t>
                      </w:r>
                      <w:hyperlink r:id="rId14" w:history="1">
                        <w:r>
                          <w:rPr>
                            <w:rStyle w:val="Hyperlink"/>
                          </w:rPr>
                          <w:t>CFPB 2013-13</w:t>
                        </w:r>
                      </w:hyperlink>
                      <w:r w:rsidRPr="001D5BC0">
                        <w:t xml:space="preserve">, the CFPB acknowledged that lenders attempting to create their own lists may not be able to develop their disclosure forms by the effective date of January 10, 2014. These lenders were allowed to provide a form that </w:t>
                      </w:r>
                      <w:r>
                        <w:t xml:space="preserve">gives </w:t>
                      </w:r>
                      <w:r w:rsidRPr="001D5BC0">
                        <w:t xml:space="preserve">applicants a link to the </w:t>
                      </w:r>
                      <w:hyperlink r:id="rId15" w:history="1">
                        <w:r w:rsidRPr="008D1865">
                          <w:rPr>
                            <w:rStyle w:val="Hyperlink"/>
                          </w:rPr>
                          <w:t>CFPB housing counseling Web site</w:t>
                        </w:r>
                      </w:hyperlink>
                      <w:r w:rsidRPr="001D5BC0">
                        <w:t>.</w:t>
                      </w:r>
                    </w:p>
                    <w:p w:rsidR="001D5BC0" w:rsidRPr="001D5BC0" w:rsidRDefault="003C56C0" w:rsidP="003D5EBE">
                      <w:pPr>
                        <w:spacing w:before="120"/>
                      </w:pPr>
                      <w:r w:rsidRPr="003C56C0">
                        <w:t>U.S. Bank Home Mortgage</w:t>
                      </w:r>
                      <w:r>
                        <w:t xml:space="preserve"> (USBHM)</w:t>
                      </w:r>
                      <w:r w:rsidR="001D5BC0" w:rsidRPr="001D5BC0">
                        <w:t xml:space="preserve"> </w:t>
                      </w:r>
                      <w:r w:rsidR="007312B7">
                        <w:t xml:space="preserve">MRBP </w:t>
                      </w:r>
                      <w:r w:rsidR="001D5BC0" w:rsidRPr="001D5BC0">
                        <w:t xml:space="preserve">will </w:t>
                      </w:r>
                      <w:r>
                        <w:t xml:space="preserve">continue accepting </w:t>
                      </w:r>
                      <w:r w:rsidR="001D5BC0" w:rsidRPr="001D5BC0">
                        <w:t xml:space="preserve">applications </w:t>
                      </w:r>
                      <w:r>
                        <w:t>t</w:t>
                      </w:r>
                      <w:r w:rsidR="001D5BC0" w:rsidRPr="001D5BC0">
                        <w:t xml:space="preserve">hat demonstrate compliance with this RESPA requirement by </w:t>
                      </w:r>
                      <w:r w:rsidR="009B2239">
                        <w:t xml:space="preserve">accomplishing </w:t>
                      </w:r>
                      <w:r w:rsidR="001D5BC0" w:rsidRPr="001D5BC0">
                        <w:t xml:space="preserve">either of the following: </w:t>
                      </w:r>
                    </w:p>
                    <w:p w:rsidR="001D5BC0" w:rsidRDefault="001D5BC0" w:rsidP="0094604B">
                      <w:pPr>
                        <w:pStyle w:val="ListParagraph"/>
                        <w:numPr>
                          <w:ilvl w:val="0"/>
                          <w:numId w:val="4"/>
                        </w:numPr>
                        <w:spacing w:before="120" w:after="0" w:line="240" w:lineRule="auto"/>
                        <w:contextualSpacing w:val="0"/>
                        <w:rPr>
                          <w:rFonts w:ascii="Arial" w:hAnsi="Arial" w:cs="Arial"/>
                          <w:sz w:val="24"/>
                          <w:szCs w:val="24"/>
                        </w:rPr>
                      </w:pPr>
                      <w:r w:rsidRPr="001D5BC0">
                        <w:rPr>
                          <w:rFonts w:ascii="Arial" w:hAnsi="Arial" w:cs="Arial"/>
                          <w:sz w:val="24"/>
                          <w:szCs w:val="24"/>
                        </w:rPr>
                        <w:t>Provide a compliant disclosure</w:t>
                      </w:r>
                      <w:r w:rsidR="009B2239">
                        <w:rPr>
                          <w:rFonts w:ascii="Arial" w:hAnsi="Arial" w:cs="Arial"/>
                          <w:sz w:val="24"/>
                          <w:szCs w:val="24"/>
                        </w:rPr>
                        <w:t>,</w:t>
                      </w:r>
                      <w:r w:rsidRPr="001D5BC0">
                        <w:rPr>
                          <w:rFonts w:ascii="Arial" w:hAnsi="Arial" w:cs="Arial"/>
                          <w:sz w:val="24"/>
                          <w:szCs w:val="24"/>
                        </w:rPr>
                        <w:t xml:space="preserve"> within three business days</w:t>
                      </w:r>
                      <w:r w:rsidR="000C2A36">
                        <w:rPr>
                          <w:rFonts w:ascii="Arial" w:hAnsi="Arial" w:cs="Arial"/>
                          <w:sz w:val="24"/>
                          <w:szCs w:val="24"/>
                        </w:rPr>
                        <w:t xml:space="preserve"> of the initial application</w:t>
                      </w:r>
                      <w:r w:rsidR="009B2239">
                        <w:rPr>
                          <w:rFonts w:ascii="Arial" w:hAnsi="Arial" w:cs="Arial"/>
                          <w:sz w:val="24"/>
                          <w:szCs w:val="24"/>
                        </w:rPr>
                        <w:t>,</w:t>
                      </w:r>
                      <w:r w:rsidRPr="001D5BC0">
                        <w:rPr>
                          <w:rFonts w:ascii="Arial" w:hAnsi="Arial" w:cs="Arial"/>
                          <w:sz w:val="24"/>
                          <w:szCs w:val="24"/>
                        </w:rPr>
                        <w:t xml:space="preserve"> which contains a current list of 10 counseling agencies based on the applicant’s current ZIP code</w:t>
                      </w:r>
                      <w:r w:rsidR="00025E4A">
                        <w:rPr>
                          <w:rFonts w:ascii="Arial" w:hAnsi="Arial" w:cs="Arial"/>
                          <w:sz w:val="24"/>
                          <w:szCs w:val="24"/>
                        </w:rPr>
                        <w:t>.</w:t>
                      </w:r>
                    </w:p>
                    <w:p w:rsidR="00025E4A" w:rsidRPr="00025E4A" w:rsidRDefault="006F78F2" w:rsidP="00025E4A">
                      <w:pPr>
                        <w:spacing w:before="120"/>
                        <w:ind w:left="720"/>
                      </w:pPr>
                      <w:r>
                        <w:t>Or</w:t>
                      </w:r>
                    </w:p>
                    <w:p w:rsidR="006F78F2" w:rsidRPr="006F78F2" w:rsidRDefault="001D5BC0" w:rsidP="005D0D3B">
                      <w:pPr>
                        <w:pStyle w:val="ListParagraph"/>
                        <w:numPr>
                          <w:ilvl w:val="0"/>
                          <w:numId w:val="4"/>
                        </w:numPr>
                        <w:tabs>
                          <w:tab w:val="right" w:pos="11160"/>
                        </w:tabs>
                        <w:spacing w:before="120" w:after="0" w:line="240" w:lineRule="auto"/>
                        <w:ind w:right="-1166"/>
                        <w:contextualSpacing w:val="0"/>
                        <w:rPr>
                          <w:rFonts w:ascii="Arial" w:eastAsia="Arial Unicode MS" w:hAnsi="Arial" w:cs="Arial"/>
                        </w:rPr>
                      </w:pPr>
                      <w:r w:rsidRPr="001D5BC0">
                        <w:rPr>
                          <w:rFonts w:ascii="Arial" w:hAnsi="Arial" w:cs="Arial"/>
                          <w:sz w:val="24"/>
                          <w:szCs w:val="24"/>
                        </w:rPr>
                        <w:t xml:space="preserve">If a lender is still working with their software vendor in good faith to incorporate the list of counseling </w:t>
                      </w:r>
                      <w:r w:rsidR="000B24AE">
                        <w:rPr>
                          <w:rFonts w:ascii="Arial" w:hAnsi="Arial" w:cs="Arial"/>
                          <w:sz w:val="24"/>
                          <w:szCs w:val="24"/>
                        </w:rPr>
                        <w:br/>
                      </w:r>
                      <w:r w:rsidRPr="001D5BC0">
                        <w:rPr>
                          <w:rFonts w:ascii="Arial" w:hAnsi="Arial" w:cs="Arial"/>
                          <w:sz w:val="24"/>
                          <w:szCs w:val="24"/>
                        </w:rPr>
                        <w:t xml:space="preserve">agencies into their loan origination system, the lender </w:t>
                      </w:r>
                      <w:r w:rsidR="003C56C0">
                        <w:rPr>
                          <w:rFonts w:ascii="Arial" w:hAnsi="Arial" w:cs="Arial"/>
                          <w:sz w:val="24"/>
                          <w:szCs w:val="24"/>
                        </w:rPr>
                        <w:t xml:space="preserve">may </w:t>
                      </w:r>
                      <w:r w:rsidRPr="001D5BC0">
                        <w:rPr>
                          <w:rFonts w:ascii="Arial" w:hAnsi="Arial" w:cs="Arial"/>
                          <w:sz w:val="24"/>
                          <w:szCs w:val="24"/>
                        </w:rPr>
                        <w:t xml:space="preserve">provide a disclosure which contains a </w:t>
                      </w:r>
                      <w:r w:rsidR="000B24AE">
                        <w:rPr>
                          <w:rFonts w:ascii="Arial" w:hAnsi="Arial" w:cs="Arial"/>
                          <w:sz w:val="24"/>
                          <w:szCs w:val="24"/>
                        </w:rPr>
                        <w:br/>
                      </w:r>
                      <w:r w:rsidRPr="001D5BC0">
                        <w:rPr>
                          <w:rFonts w:ascii="Arial" w:hAnsi="Arial" w:cs="Arial"/>
                          <w:sz w:val="24"/>
                          <w:szCs w:val="24"/>
                        </w:rPr>
                        <w:t xml:space="preserve">link to the CFPB housing counseling Web site in the bulletin’s suggested format. </w:t>
                      </w:r>
                    </w:p>
                    <w:p w:rsidR="005D0D3B" w:rsidRPr="007F708C" w:rsidRDefault="002F4AD1" w:rsidP="006F78F2">
                      <w:pPr>
                        <w:tabs>
                          <w:tab w:val="right" w:pos="11160"/>
                        </w:tabs>
                        <w:spacing w:before="120"/>
                        <w:ind w:left="720" w:right="-1166"/>
                        <w:rPr>
                          <w:rFonts w:eastAsia="Arial Unicode MS"/>
                          <w:b/>
                          <w:sz w:val="22"/>
                          <w:szCs w:val="22"/>
                        </w:rPr>
                      </w:pPr>
                      <w:r w:rsidRPr="007F708C">
                        <w:rPr>
                          <w:b/>
                        </w:rPr>
                        <w:t>T</w:t>
                      </w:r>
                      <w:r w:rsidR="002F5A97" w:rsidRPr="007F708C">
                        <w:rPr>
                          <w:b/>
                        </w:rPr>
                        <w:t xml:space="preserve">his alternative Homeownership Counseling Disclosure will be accepted on applications </w:t>
                      </w:r>
                      <w:r w:rsidR="007F708C">
                        <w:rPr>
                          <w:b/>
                        </w:rPr>
                        <w:br/>
                      </w:r>
                      <w:r w:rsidR="002F5A97" w:rsidRPr="007F708C">
                        <w:rPr>
                          <w:b/>
                        </w:rPr>
                        <w:t xml:space="preserve">(1003s) dated </w:t>
                      </w:r>
                      <w:r w:rsidR="000B24AE" w:rsidRPr="007F708C">
                        <w:rPr>
                          <w:b/>
                        </w:rPr>
                        <w:t xml:space="preserve">on or after July 10, 2014 only if the lender includes a letter stating that the </w:t>
                      </w:r>
                      <w:r w:rsidR="007F708C">
                        <w:rPr>
                          <w:b/>
                        </w:rPr>
                        <w:br/>
                      </w:r>
                      <w:r w:rsidR="000B24AE" w:rsidRPr="007F708C">
                        <w:rPr>
                          <w:b/>
                        </w:rPr>
                        <w:t xml:space="preserve">lender is working in good faith with a software vendor to incorporate the list of 10 </w:t>
                      </w:r>
                      <w:r w:rsidR="007F708C">
                        <w:rPr>
                          <w:b/>
                        </w:rPr>
                        <w:br/>
                      </w:r>
                      <w:r w:rsidR="000B24AE" w:rsidRPr="007F708C">
                        <w:rPr>
                          <w:b/>
                        </w:rPr>
                        <w:t xml:space="preserve">counseling agencies, and the letter also states a date when the lender will have the ability </w:t>
                      </w:r>
                      <w:r w:rsidR="007F708C">
                        <w:rPr>
                          <w:b/>
                        </w:rPr>
                        <w:br/>
                      </w:r>
                      <w:r w:rsidR="000B24AE" w:rsidRPr="007F708C">
                        <w:rPr>
                          <w:b/>
                        </w:rPr>
                        <w:t>to provide a fully compliant RESPA HOC disclosure.</w:t>
                      </w:r>
                    </w:p>
                  </w:txbxContent>
                </v:textbox>
                <w10:wrap type="square"/>
              </v:shape>
            </w:pict>
          </mc:Fallback>
        </mc:AlternateContent>
      </w:r>
      <w:r w:rsidR="0068119A">
        <w:rPr>
          <w:noProof/>
        </w:rPr>
        <mc:AlternateContent>
          <mc:Choice Requires="wps">
            <w:drawing>
              <wp:anchor distT="0" distB="0" distL="114300" distR="114300" simplePos="0" relativeHeight="251665408" behindDoc="0" locked="0" layoutInCell="1" allowOverlap="1" wp14:anchorId="0CD78E78" wp14:editId="44815208">
                <wp:simplePos x="0" y="0"/>
                <wp:positionH relativeFrom="column">
                  <wp:posOffset>-148590</wp:posOffset>
                </wp:positionH>
                <wp:positionV relativeFrom="paragraph">
                  <wp:posOffset>-123825</wp:posOffset>
                </wp:positionV>
                <wp:extent cx="7176770" cy="11715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7176770" cy="1171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13965" w:rsidRPr="00213965" w:rsidRDefault="00213965" w:rsidP="00213965">
                            <w:pPr>
                              <w:pStyle w:val="Default"/>
                              <w:rPr>
                                <w:rFonts w:ascii="Arial Black" w:hAnsi="Arial Black" w:cs="Arial"/>
                                <w:color w:val="193182"/>
                                <w:sz w:val="38"/>
                                <w:szCs w:val="38"/>
                              </w:rPr>
                            </w:pPr>
                            <w:r w:rsidRPr="0005084F">
                              <w:rPr>
                                <w:rFonts w:ascii="Arial Black" w:hAnsi="Arial Black" w:cs="Arial"/>
                                <w:color w:val="193182"/>
                                <w:sz w:val="38"/>
                                <w:szCs w:val="38"/>
                              </w:rPr>
                              <w:t>U.S.</w:t>
                            </w:r>
                            <w:r w:rsidRPr="0005084F">
                              <w:rPr>
                                <w:rFonts w:ascii="Arial Black" w:hAnsi="Arial Black" w:cs="Arial"/>
                                <w:color w:val="193182"/>
                                <w:sz w:val="44"/>
                                <w:szCs w:val="38"/>
                              </w:rPr>
                              <w:t xml:space="preserve"> </w:t>
                            </w:r>
                            <w:r w:rsidRPr="0005084F">
                              <w:rPr>
                                <w:rFonts w:ascii="Arial Black" w:hAnsi="Arial Black" w:cs="Arial"/>
                                <w:color w:val="193182"/>
                                <w:sz w:val="38"/>
                                <w:szCs w:val="38"/>
                              </w:rPr>
                              <w:t>Bank</w:t>
                            </w:r>
                            <w:r w:rsidRPr="0005084F">
                              <w:rPr>
                                <w:rFonts w:ascii="Arial Black" w:hAnsi="Arial Black" w:cs="Arial"/>
                                <w:color w:val="193182"/>
                                <w:sz w:val="40"/>
                                <w:szCs w:val="38"/>
                              </w:rPr>
                              <w:t xml:space="preserve"> </w:t>
                            </w:r>
                            <w:r w:rsidRPr="0005084F">
                              <w:rPr>
                                <w:rFonts w:ascii="Arial Black" w:hAnsi="Arial Black" w:cs="Arial"/>
                                <w:color w:val="193182"/>
                                <w:sz w:val="38"/>
                                <w:szCs w:val="38"/>
                              </w:rPr>
                              <w:t>Home</w:t>
                            </w:r>
                            <w:r w:rsidRPr="0005084F">
                              <w:rPr>
                                <w:rFonts w:ascii="Arial Black" w:hAnsi="Arial Black" w:cs="Arial"/>
                                <w:color w:val="193182"/>
                                <w:sz w:val="40"/>
                                <w:szCs w:val="38"/>
                              </w:rPr>
                              <w:t xml:space="preserve"> </w:t>
                            </w:r>
                            <w:r w:rsidRPr="0005084F">
                              <w:rPr>
                                <w:rFonts w:ascii="Arial Black" w:hAnsi="Arial Black" w:cs="Arial"/>
                                <w:color w:val="193182"/>
                                <w:sz w:val="38"/>
                                <w:szCs w:val="38"/>
                              </w:rPr>
                              <w:t>Mortgage</w:t>
                            </w:r>
                          </w:p>
                          <w:p w:rsidR="00213965" w:rsidRDefault="007312B7" w:rsidP="00213965">
                            <w:pPr>
                              <w:pStyle w:val="CM1"/>
                              <w:jc w:val="both"/>
                              <w:rPr>
                                <w:rFonts w:ascii="Arial" w:hAnsi="Arial" w:cs="Arial"/>
                                <w:color w:val="193182"/>
                                <w:sz w:val="26"/>
                                <w:szCs w:val="26"/>
                              </w:rPr>
                            </w:pPr>
                            <w:r>
                              <w:rPr>
                                <w:rFonts w:ascii="Arial" w:hAnsi="Arial" w:cs="Arial"/>
                                <w:color w:val="193182"/>
                                <w:sz w:val="26"/>
                                <w:szCs w:val="26"/>
                              </w:rPr>
                              <w:t>MRBP</w:t>
                            </w:r>
                          </w:p>
                          <w:p w:rsidR="00213965" w:rsidRPr="006A3D32" w:rsidRDefault="00213965" w:rsidP="00213965">
                            <w:pPr>
                              <w:pStyle w:val="Default"/>
                              <w:rPr>
                                <w:sz w:val="14"/>
                              </w:rPr>
                            </w:pPr>
                          </w:p>
                          <w:p w:rsidR="00213965" w:rsidRPr="006A3D32" w:rsidRDefault="00213965" w:rsidP="00213965">
                            <w:pPr>
                              <w:pStyle w:val="Default"/>
                              <w:rPr>
                                <w:sz w:val="44"/>
                                <w:szCs w:val="38"/>
                              </w:rPr>
                            </w:pPr>
                            <w:r w:rsidRPr="006A3D32">
                              <w:rPr>
                                <w:rFonts w:ascii="Arial Black" w:hAnsi="Arial Black" w:cs="Arial"/>
                                <w:color w:val="193182"/>
                                <w:sz w:val="56"/>
                                <w:szCs w:val="38"/>
                              </w:rPr>
                              <w:t xml:space="preserve">Lender Operations </w:t>
                            </w:r>
                            <w:r>
                              <w:rPr>
                                <w:rFonts w:ascii="Arial Black" w:hAnsi="Arial Black" w:cs="Arial"/>
                                <w:color w:val="193182"/>
                                <w:sz w:val="56"/>
                                <w:szCs w:val="38"/>
                              </w:rPr>
                              <w:t>Update</w:t>
                            </w:r>
                            <w:r>
                              <w:rPr>
                                <w:rFonts w:ascii="Arial Black" w:hAnsi="Arial Black" w:cs="Arial"/>
                                <w:color w:val="193182"/>
                                <w:sz w:val="48"/>
                                <w:szCs w:val="38"/>
                              </w:rPr>
                              <w:t xml:space="preserve">         </w:t>
                            </w:r>
                            <w:r w:rsidRPr="006A3D32">
                              <w:rPr>
                                <w:rFonts w:ascii="Arial Black" w:hAnsi="Arial Black" w:cs="Arial"/>
                                <w:color w:val="FFFFFF" w:themeColor="background1"/>
                                <w:szCs w:val="38"/>
                              </w:rPr>
                              <w:t>2014</w:t>
                            </w:r>
                            <w:r w:rsidR="00AB14B8">
                              <w:rPr>
                                <w:rFonts w:ascii="Arial Black" w:hAnsi="Arial Black" w:cs="Arial"/>
                                <w:color w:val="FFFFFF" w:themeColor="background1"/>
                                <w:szCs w:val="38"/>
                              </w:rPr>
                              <w:t>-42</w:t>
                            </w:r>
                            <w:r w:rsidR="007312B7">
                              <w:rPr>
                                <w:rFonts w:ascii="Arial Black" w:hAnsi="Arial Black" w:cs="Arial"/>
                                <w:color w:val="FFFFFF" w:themeColor="background1"/>
                                <w:szCs w:val="38"/>
                              </w:rPr>
                              <w:t xml:space="preserve"> </w:t>
                            </w:r>
                            <w:r w:rsidRPr="006A3D32">
                              <w:rPr>
                                <w:rFonts w:ascii="Arial Black" w:hAnsi="Arial Black" w:cs="Arial"/>
                                <w:color w:val="FFFFFF" w:themeColor="background1"/>
                                <w:sz w:val="48"/>
                                <w:szCs w:val="38"/>
                              </w:rPr>
                              <w:t xml:space="preserve"> </w:t>
                            </w:r>
                          </w:p>
                          <w:p w:rsidR="00213965" w:rsidRPr="00EC3518" w:rsidRDefault="00213965" w:rsidP="00213965">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8E78" id="Text Box 4" o:spid="_x0000_s1027" type="#_x0000_t202" style="position:absolute;margin-left:-11.7pt;margin-top:-9.75pt;width:565.1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" filled="f" stroked="f">
                <v:textbox>
                  <w:txbxContent>
                    <w:p w:rsidR="00213965" w:rsidRPr="00213965" w:rsidRDefault="00213965" w:rsidP="00213965">
                      <w:pPr>
                        <w:pStyle w:val="Default"/>
                        <w:rPr>
                          <w:rFonts w:ascii="Arial Black" w:hAnsi="Arial Black" w:cs="Arial"/>
                          <w:color w:val="193182"/>
                          <w:sz w:val="38"/>
                          <w:szCs w:val="38"/>
                        </w:rPr>
                      </w:pPr>
                      <w:r w:rsidRPr="0005084F">
                        <w:rPr>
                          <w:rFonts w:ascii="Arial Black" w:hAnsi="Arial Black" w:cs="Arial"/>
                          <w:color w:val="193182"/>
                          <w:sz w:val="38"/>
                          <w:szCs w:val="38"/>
                        </w:rPr>
                        <w:t>U.S.</w:t>
                      </w:r>
                      <w:r w:rsidRPr="0005084F">
                        <w:rPr>
                          <w:rFonts w:ascii="Arial Black" w:hAnsi="Arial Black" w:cs="Arial"/>
                          <w:color w:val="193182"/>
                          <w:sz w:val="44"/>
                          <w:szCs w:val="38"/>
                        </w:rPr>
                        <w:t xml:space="preserve"> </w:t>
                      </w:r>
                      <w:r w:rsidRPr="0005084F">
                        <w:rPr>
                          <w:rFonts w:ascii="Arial Black" w:hAnsi="Arial Black" w:cs="Arial"/>
                          <w:color w:val="193182"/>
                          <w:sz w:val="38"/>
                          <w:szCs w:val="38"/>
                        </w:rPr>
                        <w:t>Bank</w:t>
                      </w:r>
                      <w:r w:rsidRPr="0005084F">
                        <w:rPr>
                          <w:rFonts w:ascii="Arial Black" w:hAnsi="Arial Black" w:cs="Arial"/>
                          <w:color w:val="193182"/>
                          <w:sz w:val="40"/>
                          <w:szCs w:val="38"/>
                        </w:rPr>
                        <w:t xml:space="preserve"> </w:t>
                      </w:r>
                      <w:r w:rsidRPr="0005084F">
                        <w:rPr>
                          <w:rFonts w:ascii="Arial Black" w:hAnsi="Arial Black" w:cs="Arial"/>
                          <w:color w:val="193182"/>
                          <w:sz w:val="38"/>
                          <w:szCs w:val="38"/>
                        </w:rPr>
                        <w:t>Home</w:t>
                      </w:r>
                      <w:r w:rsidRPr="0005084F">
                        <w:rPr>
                          <w:rFonts w:ascii="Arial Black" w:hAnsi="Arial Black" w:cs="Arial"/>
                          <w:color w:val="193182"/>
                          <w:sz w:val="40"/>
                          <w:szCs w:val="38"/>
                        </w:rPr>
                        <w:t xml:space="preserve"> </w:t>
                      </w:r>
                      <w:r w:rsidRPr="0005084F">
                        <w:rPr>
                          <w:rFonts w:ascii="Arial Black" w:hAnsi="Arial Black" w:cs="Arial"/>
                          <w:color w:val="193182"/>
                          <w:sz w:val="38"/>
                          <w:szCs w:val="38"/>
                        </w:rPr>
                        <w:t>Mortgage</w:t>
                      </w:r>
                    </w:p>
                    <w:p w:rsidR="00213965" w:rsidRDefault="007312B7" w:rsidP="00213965">
                      <w:pPr>
                        <w:pStyle w:val="CM1"/>
                        <w:jc w:val="both"/>
                        <w:rPr>
                          <w:rFonts w:ascii="Arial" w:hAnsi="Arial" w:cs="Arial"/>
                          <w:color w:val="193182"/>
                          <w:sz w:val="26"/>
                          <w:szCs w:val="26"/>
                        </w:rPr>
                      </w:pPr>
                      <w:r>
                        <w:rPr>
                          <w:rFonts w:ascii="Arial" w:hAnsi="Arial" w:cs="Arial"/>
                          <w:color w:val="193182"/>
                          <w:sz w:val="26"/>
                          <w:szCs w:val="26"/>
                        </w:rPr>
                        <w:t>MRBP</w:t>
                      </w:r>
                    </w:p>
                    <w:p w:rsidR="00213965" w:rsidRPr="006A3D32" w:rsidRDefault="00213965" w:rsidP="00213965">
                      <w:pPr>
                        <w:pStyle w:val="Default"/>
                        <w:rPr>
                          <w:sz w:val="14"/>
                        </w:rPr>
                      </w:pPr>
                    </w:p>
                    <w:p w:rsidR="00213965" w:rsidRPr="006A3D32" w:rsidRDefault="00213965" w:rsidP="00213965">
                      <w:pPr>
                        <w:pStyle w:val="Default"/>
                        <w:rPr>
                          <w:sz w:val="44"/>
                          <w:szCs w:val="38"/>
                        </w:rPr>
                      </w:pPr>
                      <w:r w:rsidRPr="006A3D32">
                        <w:rPr>
                          <w:rFonts w:ascii="Arial Black" w:hAnsi="Arial Black" w:cs="Arial"/>
                          <w:color w:val="193182"/>
                          <w:sz w:val="56"/>
                          <w:szCs w:val="38"/>
                        </w:rPr>
                        <w:t xml:space="preserve">Lender Operations </w:t>
                      </w:r>
                      <w:r>
                        <w:rPr>
                          <w:rFonts w:ascii="Arial Black" w:hAnsi="Arial Black" w:cs="Arial"/>
                          <w:color w:val="193182"/>
                          <w:sz w:val="56"/>
                          <w:szCs w:val="38"/>
                        </w:rPr>
                        <w:t>Update</w:t>
                      </w:r>
                      <w:r>
                        <w:rPr>
                          <w:rFonts w:ascii="Arial Black" w:hAnsi="Arial Black" w:cs="Arial"/>
                          <w:color w:val="193182"/>
                          <w:sz w:val="48"/>
                          <w:szCs w:val="38"/>
                        </w:rPr>
                        <w:t xml:space="preserve">         </w:t>
                      </w:r>
                      <w:r w:rsidRPr="006A3D32">
                        <w:rPr>
                          <w:rFonts w:ascii="Arial Black" w:hAnsi="Arial Black" w:cs="Arial"/>
                          <w:color w:val="FFFFFF" w:themeColor="background1"/>
                          <w:szCs w:val="38"/>
                        </w:rPr>
                        <w:t>2014</w:t>
                      </w:r>
                      <w:r w:rsidR="00AB14B8">
                        <w:rPr>
                          <w:rFonts w:ascii="Arial Black" w:hAnsi="Arial Black" w:cs="Arial"/>
                          <w:color w:val="FFFFFF" w:themeColor="background1"/>
                          <w:szCs w:val="38"/>
                        </w:rPr>
                        <w:t>-42</w:t>
                      </w:r>
                      <w:r w:rsidR="007312B7">
                        <w:rPr>
                          <w:rFonts w:ascii="Arial Black" w:hAnsi="Arial Black" w:cs="Arial"/>
                          <w:color w:val="FFFFFF" w:themeColor="background1"/>
                          <w:szCs w:val="38"/>
                        </w:rPr>
                        <w:t xml:space="preserve"> </w:t>
                      </w:r>
                      <w:r w:rsidRPr="006A3D32">
                        <w:rPr>
                          <w:rFonts w:ascii="Arial Black" w:hAnsi="Arial Black" w:cs="Arial"/>
                          <w:color w:val="FFFFFF" w:themeColor="background1"/>
                          <w:sz w:val="48"/>
                          <w:szCs w:val="38"/>
                        </w:rPr>
                        <w:t xml:space="preserve"> </w:t>
                      </w:r>
                    </w:p>
                    <w:p w:rsidR="00213965" w:rsidRPr="00EC3518" w:rsidRDefault="00213965" w:rsidP="00213965">
                      <w:pPr>
                        <w:rPr>
                          <w:sz w:val="36"/>
                          <w:szCs w:val="36"/>
                        </w:rPr>
                      </w:pPr>
                    </w:p>
                  </w:txbxContent>
                </v:textbox>
                <w10:wrap type="square"/>
              </v:shape>
            </w:pict>
          </mc:Fallback>
        </mc:AlternateContent>
      </w:r>
      <w:r w:rsidR="007476B8">
        <w:rPr>
          <w:noProof/>
        </w:rPr>
        <w:drawing>
          <wp:anchor distT="0" distB="0" distL="114300" distR="114300" simplePos="0" relativeHeight="251659264" behindDoc="1" locked="0" layoutInCell="1" allowOverlap="1" wp14:anchorId="3034DED7" wp14:editId="7755A117">
            <wp:simplePos x="0" y="0"/>
            <wp:positionH relativeFrom="column">
              <wp:posOffset>-457200</wp:posOffset>
            </wp:positionH>
            <wp:positionV relativeFrom="paragraph">
              <wp:posOffset>-457200</wp:posOffset>
            </wp:positionV>
            <wp:extent cx="7771765" cy="981456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188 USBHM Wholesale Masthead.jpg"/>
                    <pic:cNvPicPr/>
                  </pic:nvPicPr>
                  <pic:blipFill>
                    <a:blip r:embed="rId16">
                      <a:extLst>
                        <a:ext uri="{28A0092B-C50C-407E-A947-70E740481C1C}">
                          <a14:useLocalDpi xmlns:a14="http://schemas.microsoft.com/office/drawing/2010/main" val="0"/>
                        </a:ext>
                      </a:extLst>
                    </a:blip>
                    <a:stretch>
                      <a:fillRect/>
                    </a:stretch>
                  </pic:blipFill>
                  <pic:spPr>
                    <a:xfrm>
                      <a:off x="0" y="0"/>
                      <a:ext cx="7771765" cy="9814560"/>
                    </a:xfrm>
                    <a:prstGeom prst="rect">
                      <a:avLst/>
                    </a:prstGeom>
                  </pic:spPr>
                </pic:pic>
              </a:graphicData>
            </a:graphic>
            <wp14:sizeRelH relativeFrom="page">
              <wp14:pctWidth>0</wp14:pctWidth>
            </wp14:sizeRelH>
            <wp14:sizeRelV relativeFrom="page">
              <wp14:pctHeight>0</wp14:pctHeight>
            </wp14:sizeRelV>
          </wp:anchor>
        </w:drawing>
      </w:r>
      <w:r w:rsidR="00213965">
        <w:br w:type="page"/>
      </w:r>
    </w:p>
    <w:p w:rsidR="001D5BC0" w:rsidRPr="00796239" w:rsidRDefault="001D5BC0" w:rsidP="0094604B">
      <w:pPr>
        <w:tabs>
          <w:tab w:val="right" w:pos="11160"/>
        </w:tabs>
        <w:ind w:right="-1166"/>
        <w:rPr>
          <w:rFonts w:ascii="Arial Black" w:eastAsia="Arial Unicode MS" w:hAnsi="Arial Black"/>
          <w:color w:val="193182"/>
        </w:rPr>
      </w:pPr>
      <w:bookmarkStart w:id="3" w:name="NMLS"/>
      <w:bookmarkEnd w:id="3"/>
      <w:r>
        <w:rPr>
          <w:rFonts w:ascii="Arial Black" w:eastAsia="Arial Unicode MS" w:hAnsi="Arial Black"/>
          <w:color w:val="193182"/>
        </w:rPr>
        <w:lastRenderedPageBreak/>
        <w:t>NMLS Disclosures</w:t>
      </w:r>
    </w:p>
    <w:p w:rsidR="001D5BC0" w:rsidRPr="000A5296" w:rsidRDefault="00D91849" w:rsidP="0094604B">
      <w:pPr>
        <w:rPr>
          <w:b/>
        </w:rPr>
      </w:pPr>
      <w:r>
        <w:rPr>
          <w:b/>
        </w:rPr>
        <w:t xml:space="preserve">Required </w:t>
      </w:r>
      <w:r w:rsidR="001D5BC0" w:rsidRPr="000A5296">
        <w:rPr>
          <w:b/>
        </w:rPr>
        <w:t>Loan Origination Information on the Note and Security Instrument</w:t>
      </w:r>
    </w:p>
    <w:p w:rsidR="001D5BC0" w:rsidRPr="000A5296" w:rsidRDefault="001D5BC0" w:rsidP="0094604B">
      <w:r w:rsidRPr="000A5296">
        <w:t xml:space="preserve">The Truth in Lending Act now requires that the </w:t>
      </w:r>
      <w:r w:rsidR="000B5935">
        <w:t xml:space="preserve">individual </w:t>
      </w:r>
      <w:r w:rsidRPr="000A5296">
        <w:t>loan originator name and Nationwide Mortgage Licensing System (NMLS) number, and the originating company name and NMLS number appear on the following documents</w:t>
      </w:r>
      <w:r w:rsidR="000B5935">
        <w:t xml:space="preserve"> at the time of consummation</w:t>
      </w:r>
      <w:r w:rsidRPr="000A5296">
        <w:t xml:space="preserve">: </w:t>
      </w:r>
    </w:p>
    <w:p w:rsidR="001D5BC0" w:rsidRPr="000A5296" w:rsidRDefault="001D5BC0" w:rsidP="0094604B">
      <w:pPr>
        <w:pStyle w:val="ListParagraph"/>
        <w:numPr>
          <w:ilvl w:val="0"/>
          <w:numId w:val="2"/>
        </w:numPr>
        <w:spacing w:before="120" w:after="0" w:line="240" w:lineRule="auto"/>
        <w:contextualSpacing w:val="0"/>
        <w:rPr>
          <w:rFonts w:ascii="Arial" w:hAnsi="Arial" w:cs="Arial"/>
          <w:sz w:val="24"/>
          <w:szCs w:val="24"/>
        </w:rPr>
      </w:pPr>
      <w:r w:rsidRPr="000A5296">
        <w:rPr>
          <w:rFonts w:ascii="Arial" w:hAnsi="Arial" w:cs="Arial"/>
          <w:sz w:val="24"/>
          <w:szCs w:val="24"/>
        </w:rPr>
        <w:t>Initial and final loan applications (1003),</w:t>
      </w:r>
    </w:p>
    <w:p w:rsidR="001D5BC0" w:rsidRPr="000A5296" w:rsidRDefault="001D5BC0" w:rsidP="0094604B">
      <w:pPr>
        <w:pStyle w:val="ListParagraph"/>
        <w:numPr>
          <w:ilvl w:val="0"/>
          <w:numId w:val="2"/>
        </w:numPr>
        <w:spacing w:after="0" w:line="240" w:lineRule="auto"/>
        <w:contextualSpacing w:val="0"/>
        <w:rPr>
          <w:rFonts w:ascii="Arial" w:hAnsi="Arial" w:cs="Arial"/>
          <w:sz w:val="24"/>
          <w:szCs w:val="24"/>
        </w:rPr>
      </w:pPr>
      <w:r w:rsidRPr="000A5296">
        <w:rPr>
          <w:rFonts w:ascii="Arial" w:hAnsi="Arial" w:cs="Arial"/>
          <w:sz w:val="24"/>
          <w:szCs w:val="24"/>
        </w:rPr>
        <w:t>Note, and</w:t>
      </w:r>
    </w:p>
    <w:p w:rsidR="001D5BC0" w:rsidRPr="000A5296" w:rsidRDefault="001D5BC0" w:rsidP="0094604B">
      <w:pPr>
        <w:pStyle w:val="ListParagraph"/>
        <w:numPr>
          <w:ilvl w:val="0"/>
          <w:numId w:val="2"/>
        </w:numPr>
        <w:spacing w:after="120" w:line="240" w:lineRule="auto"/>
        <w:contextualSpacing w:val="0"/>
        <w:rPr>
          <w:rFonts w:ascii="Arial" w:hAnsi="Arial" w:cs="Arial"/>
          <w:sz w:val="24"/>
          <w:szCs w:val="24"/>
        </w:rPr>
      </w:pPr>
      <w:r w:rsidRPr="000A5296">
        <w:rPr>
          <w:rFonts w:ascii="Arial" w:hAnsi="Arial" w:cs="Arial"/>
          <w:sz w:val="24"/>
          <w:szCs w:val="24"/>
        </w:rPr>
        <w:t xml:space="preserve">Security instrument. </w:t>
      </w:r>
    </w:p>
    <w:p w:rsidR="00C3549D" w:rsidRDefault="00C3549D" w:rsidP="0094604B">
      <w:r w:rsidRPr="00190C1D">
        <w:rPr>
          <w:b/>
        </w:rPr>
        <w:t xml:space="preserve">Effective with loans closed on or after July </w:t>
      </w:r>
      <w:r w:rsidR="00E2376F">
        <w:rPr>
          <w:b/>
        </w:rPr>
        <w:t>31</w:t>
      </w:r>
      <w:r w:rsidRPr="00190C1D">
        <w:rPr>
          <w:b/>
        </w:rPr>
        <w:t>, 2014</w:t>
      </w:r>
      <w:r>
        <w:t xml:space="preserve">, if the name and NMLS information is </w:t>
      </w:r>
      <w:r w:rsidRPr="00531E51">
        <w:rPr>
          <w:b/>
        </w:rPr>
        <w:t>missing</w:t>
      </w:r>
      <w:r>
        <w:t xml:space="preserve"> on the closing documents (the note and the security instrument) at the time of consummation,</w:t>
      </w:r>
      <w:r w:rsidR="00633611">
        <w:t xml:space="preserve"> </w:t>
      </w:r>
      <w:r w:rsidR="002F29A8">
        <w:t>the loan will be ineligible for purchase</w:t>
      </w:r>
      <w:r>
        <w:t xml:space="preserve">. </w:t>
      </w:r>
    </w:p>
    <w:p w:rsidR="00C3549D" w:rsidRDefault="00C3549D" w:rsidP="0094604B"/>
    <w:p w:rsidR="00C3549D" w:rsidRDefault="00C3549D" w:rsidP="0094604B">
      <w:r>
        <w:t>To prevent this Truth in Lending error, please ensure that the originator n</w:t>
      </w:r>
      <w:r w:rsidRPr="00CC23D0">
        <w:t>ame and</w:t>
      </w:r>
      <w:r w:rsidR="00CC23D0" w:rsidRPr="00CC23D0">
        <w:t xml:space="preserve"> </w:t>
      </w:r>
      <w:r w:rsidRPr="00CC23D0">
        <w:t>NMLS number is</w:t>
      </w:r>
      <w:r w:rsidR="00CC23D0">
        <w:t xml:space="preserve"> accurate and matches a name which has been registered with the NMLS and the information is present on the closing documents at the time of consummation. </w:t>
      </w:r>
    </w:p>
    <w:p w:rsidR="00C3549D" w:rsidRDefault="00C3549D" w:rsidP="0094604B"/>
    <w:p w:rsidR="00E02690" w:rsidRPr="000A5296" w:rsidRDefault="00E02690" w:rsidP="0094604B">
      <w:pPr>
        <w:tabs>
          <w:tab w:val="right" w:pos="11160"/>
        </w:tabs>
        <w:ind w:right="-1166"/>
        <w:rPr>
          <w:rFonts w:eastAsia="Arial Unicode MS"/>
          <w:color w:val="000000" w:themeColor="text1"/>
        </w:rPr>
      </w:pPr>
    </w:p>
    <w:p w:rsidR="00E02690" w:rsidRPr="00796239" w:rsidRDefault="00E02690" w:rsidP="0094604B">
      <w:pPr>
        <w:tabs>
          <w:tab w:val="right" w:pos="11160"/>
        </w:tabs>
        <w:ind w:right="-1166"/>
        <w:rPr>
          <w:rFonts w:ascii="Arial Black" w:eastAsia="Arial Unicode MS" w:hAnsi="Arial Black"/>
          <w:color w:val="193182"/>
        </w:rPr>
      </w:pPr>
      <w:bookmarkStart w:id="4" w:name="ECOA_valuation"/>
      <w:bookmarkEnd w:id="4"/>
      <w:r w:rsidRPr="00796239">
        <w:rPr>
          <w:rFonts w:ascii="Arial Black" w:eastAsia="Arial Unicode MS" w:hAnsi="Arial Black"/>
          <w:color w:val="193182"/>
        </w:rPr>
        <w:t>ECOA Valuations Rule</w:t>
      </w:r>
    </w:p>
    <w:p w:rsidR="00E02690" w:rsidRPr="000A5296" w:rsidRDefault="007312B7" w:rsidP="0094604B">
      <w:pPr>
        <w:ind w:right="-1166"/>
        <w:rPr>
          <w:rFonts w:eastAsia="Arial Unicode MS"/>
        </w:rPr>
      </w:pPr>
      <w:r>
        <w:rPr>
          <w:rFonts w:eastAsia="Arial Unicode MS"/>
        </w:rPr>
        <w:t>MRBP</w:t>
      </w:r>
      <w:r w:rsidR="00E02690" w:rsidRPr="000A5296">
        <w:rPr>
          <w:rFonts w:eastAsia="Arial Unicode MS"/>
        </w:rPr>
        <w:t xml:space="preserve"> Operations requires that all </w:t>
      </w:r>
      <w:r>
        <w:rPr>
          <w:rFonts w:eastAsia="Arial Unicode MS"/>
        </w:rPr>
        <w:t>MRBP</w:t>
      </w:r>
      <w:r w:rsidRPr="000A5296">
        <w:rPr>
          <w:rFonts w:eastAsia="Arial Unicode MS"/>
        </w:rPr>
        <w:t xml:space="preserve"> </w:t>
      </w:r>
      <w:r w:rsidR="00E02690" w:rsidRPr="000A5296">
        <w:rPr>
          <w:rFonts w:eastAsia="Arial Unicode MS"/>
        </w:rPr>
        <w:t xml:space="preserve">lenders include evidence in each file that </w:t>
      </w:r>
      <w:r w:rsidR="000A5296">
        <w:rPr>
          <w:rFonts w:eastAsia="Arial Unicode MS"/>
        </w:rPr>
        <w:br/>
      </w:r>
      <w:r w:rsidR="00E02690" w:rsidRPr="000A5296">
        <w:rPr>
          <w:rFonts w:eastAsia="Arial Unicode MS"/>
        </w:rPr>
        <w:t>all valuations were d</w:t>
      </w:r>
      <w:r w:rsidR="0053147F">
        <w:rPr>
          <w:rFonts w:eastAsia="Arial Unicode MS"/>
        </w:rPr>
        <w:t xml:space="preserve">elivered to the borrower. This </w:t>
      </w:r>
      <w:r>
        <w:rPr>
          <w:rFonts w:eastAsia="Arial Unicode MS"/>
        </w:rPr>
        <w:t>MRBP</w:t>
      </w:r>
      <w:r w:rsidR="0053147F">
        <w:rPr>
          <w:rFonts w:eastAsia="Arial Unicode MS"/>
        </w:rPr>
        <w:t xml:space="preserve"> U</w:t>
      </w:r>
      <w:r w:rsidR="00E02690" w:rsidRPr="000A5296">
        <w:rPr>
          <w:rFonts w:eastAsia="Arial Unicode MS"/>
        </w:rPr>
        <w:t>pdate clarifies what constitutes acceptable evidence for valuation delivery.</w:t>
      </w:r>
    </w:p>
    <w:p w:rsidR="00E02690" w:rsidRPr="000A5296" w:rsidRDefault="00E02690" w:rsidP="0094604B">
      <w:pPr>
        <w:rPr>
          <w:rFonts w:eastAsia="Arial Unicode MS"/>
        </w:rPr>
      </w:pPr>
    </w:p>
    <w:p w:rsidR="00E02690" w:rsidRPr="000A5296" w:rsidRDefault="00E02690" w:rsidP="000A5296">
      <w:pPr>
        <w:ind w:right="-1170"/>
        <w:rPr>
          <w:b/>
        </w:rPr>
      </w:pPr>
      <w:r w:rsidRPr="000A5296">
        <w:rPr>
          <w:rFonts w:eastAsia="Arial Unicode MS"/>
          <w:b/>
        </w:rPr>
        <w:t>Acceptable</w:t>
      </w:r>
      <w:r w:rsidR="000A5296" w:rsidRPr="000A5296">
        <w:rPr>
          <w:rFonts w:eastAsia="Arial Unicode MS"/>
          <w:b/>
        </w:rPr>
        <w:t xml:space="preserve"> proof of de</w:t>
      </w:r>
      <w:r w:rsidRPr="000A5296">
        <w:rPr>
          <w:rFonts w:eastAsia="Arial Unicode MS"/>
          <w:b/>
        </w:rPr>
        <w:t>livery</w:t>
      </w:r>
      <w:r w:rsidR="000A5296" w:rsidRPr="000A5296">
        <w:rPr>
          <w:rFonts w:eastAsia="Arial Unicode MS"/>
          <w:b/>
        </w:rPr>
        <w:t xml:space="preserve"> f</w:t>
      </w:r>
      <w:r w:rsidRPr="000A5296">
        <w:rPr>
          <w:b/>
        </w:rPr>
        <w:t>or all USBHM underwritten files:</w:t>
      </w:r>
    </w:p>
    <w:p w:rsidR="00E02690" w:rsidRPr="000A5296" w:rsidRDefault="0053147F" w:rsidP="0094604B">
      <w:r>
        <w:t xml:space="preserve">USBHM </w:t>
      </w:r>
      <w:r w:rsidR="007312B7">
        <w:t xml:space="preserve">MRBP </w:t>
      </w:r>
      <w:r>
        <w:t xml:space="preserve">has </w:t>
      </w:r>
      <w:r w:rsidR="00E02690" w:rsidRPr="000A5296">
        <w:t xml:space="preserve">provided a model form, the </w:t>
      </w:r>
      <w:hyperlink r:id="rId17" w:tgtFrame="_blank" w:history="1">
        <w:r w:rsidR="00E02690" w:rsidRPr="000A5296">
          <w:rPr>
            <w:rStyle w:val="Hyperlink"/>
          </w:rPr>
          <w:t>Appraisal Delivery Certification</w:t>
        </w:r>
      </w:hyperlink>
      <w:r w:rsidR="00E02690" w:rsidRPr="000A5296">
        <w:t xml:space="preserve"> that lenders must use. </w:t>
      </w:r>
    </w:p>
    <w:p w:rsidR="00E02690" w:rsidRPr="000A5296" w:rsidRDefault="00E02690" w:rsidP="0094604B"/>
    <w:p w:rsidR="00E02690" w:rsidRPr="000A5296" w:rsidRDefault="000A5296" w:rsidP="0094604B">
      <w:pPr>
        <w:rPr>
          <w:b/>
        </w:rPr>
      </w:pPr>
      <w:r w:rsidRPr="000A5296">
        <w:rPr>
          <w:rFonts w:eastAsia="Arial Unicode MS"/>
          <w:b/>
        </w:rPr>
        <w:t>Acceptable proof of delivery f</w:t>
      </w:r>
      <w:r w:rsidRPr="000A5296">
        <w:rPr>
          <w:b/>
        </w:rPr>
        <w:t>or</w:t>
      </w:r>
      <w:r w:rsidR="00E02690" w:rsidRPr="000A5296">
        <w:rPr>
          <w:b/>
        </w:rPr>
        <w:t xml:space="preserve"> all delegated-underwritten files:</w:t>
      </w:r>
    </w:p>
    <w:p w:rsidR="00E02690" w:rsidRPr="00CF70DA" w:rsidRDefault="007312B7" w:rsidP="004D4D5E">
      <w:r>
        <w:t>MRBP</w:t>
      </w:r>
      <w:r w:rsidRPr="00CF70DA">
        <w:t xml:space="preserve"> </w:t>
      </w:r>
      <w:r w:rsidR="00E02690" w:rsidRPr="00CF70DA">
        <w:t xml:space="preserve">lenders can use the </w:t>
      </w:r>
      <w:hyperlink r:id="rId18" w:history="1">
        <w:r w:rsidR="00E02690" w:rsidRPr="00CF70DA">
          <w:rPr>
            <w:rStyle w:val="Hyperlink"/>
          </w:rPr>
          <w:t>Appraisal Delivery Certification</w:t>
        </w:r>
      </w:hyperlink>
      <w:r w:rsidR="00E02690" w:rsidRPr="00CF70DA">
        <w:t xml:space="preserve"> </w:t>
      </w:r>
      <w:r w:rsidR="00D91849">
        <w:t xml:space="preserve">mentioned </w:t>
      </w:r>
      <w:r w:rsidR="00E02690" w:rsidRPr="00CF70DA">
        <w:t>above for their delegated-underwritten files</w:t>
      </w:r>
      <w:r w:rsidR="003808E5">
        <w:t>;</w:t>
      </w:r>
      <w:r w:rsidR="00E02690" w:rsidRPr="00CF70DA">
        <w:t xml:space="preserve"> other proof of delivery is</w:t>
      </w:r>
      <w:r w:rsidR="003808E5">
        <w:t xml:space="preserve"> also</w:t>
      </w:r>
      <w:r w:rsidR="00E02690" w:rsidRPr="00CF70DA">
        <w:t xml:space="preserve"> acceptable. If lenders choose other documentation, we require that lenders provide either:</w:t>
      </w:r>
    </w:p>
    <w:p w:rsidR="00E02690" w:rsidRPr="00CF70DA" w:rsidRDefault="00E02690" w:rsidP="004D4D5E">
      <w:pPr>
        <w:pStyle w:val="ListParagraph"/>
        <w:numPr>
          <w:ilvl w:val="0"/>
          <w:numId w:val="7"/>
        </w:numPr>
        <w:autoSpaceDE w:val="0"/>
        <w:autoSpaceDN w:val="0"/>
        <w:adjustRightInd w:val="0"/>
        <w:spacing w:before="120" w:after="0" w:line="240" w:lineRule="auto"/>
        <w:contextualSpacing w:val="0"/>
        <w:rPr>
          <w:rFonts w:ascii="Arial" w:hAnsi="Arial" w:cs="Arial"/>
          <w:iCs/>
          <w:color w:val="000000"/>
          <w:sz w:val="24"/>
          <w:szCs w:val="24"/>
        </w:rPr>
      </w:pPr>
      <w:r w:rsidRPr="00CF70DA">
        <w:rPr>
          <w:rFonts w:ascii="Arial" w:hAnsi="Arial" w:cs="Arial"/>
          <w:iCs/>
          <w:color w:val="000000"/>
          <w:sz w:val="24"/>
          <w:szCs w:val="24"/>
        </w:rPr>
        <w:t xml:space="preserve">A borrower certification </w:t>
      </w:r>
      <w:r w:rsidR="002F5A97">
        <w:rPr>
          <w:rFonts w:ascii="Arial" w:hAnsi="Arial" w:cs="Arial"/>
          <w:iCs/>
          <w:color w:val="000000"/>
          <w:sz w:val="24"/>
          <w:szCs w:val="24"/>
        </w:rPr>
        <w:t xml:space="preserve">executed </w:t>
      </w:r>
      <w:r w:rsidRPr="00CF70DA">
        <w:rPr>
          <w:rFonts w:ascii="Arial" w:hAnsi="Arial" w:cs="Arial"/>
          <w:iCs/>
          <w:color w:val="000000"/>
          <w:sz w:val="24"/>
          <w:szCs w:val="24"/>
        </w:rPr>
        <w:t>at closing which states the borrower either (a) received all appraisals or valuation</w:t>
      </w:r>
      <w:r w:rsidR="000A5296" w:rsidRPr="00CF70DA">
        <w:rPr>
          <w:rFonts w:ascii="Arial" w:hAnsi="Arial" w:cs="Arial"/>
          <w:iCs/>
          <w:color w:val="000000"/>
          <w:sz w:val="24"/>
          <w:szCs w:val="24"/>
        </w:rPr>
        <w:t>s</w:t>
      </w:r>
      <w:r w:rsidRPr="00CF70DA">
        <w:rPr>
          <w:rFonts w:ascii="Arial" w:hAnsi="Arial" w:cs="Arial"/>
          <w:iCs/>
          <w:color w:val="000000"/>
          <w:sz w:val="24"/>
          <w:szCs w:val="24"/>
        </w:rPr>
        <w:t xml:space="preserve"> three business days prior to closing or (b) exercised a waiver of the three-day closing waiting period but received all appraisals and valuations at or before closing; </w:t>
      </w:r>
    </w:p>
    <w:p w:rsidR="00E02690" w:rsidRPr="00CF70DA" w:rsidRDefault="00BF2612" w:rsidP="004D4D5E">
      <w:pPr>
        <w:autoSpaceDE w:val="0"/>
        <w:autoSpaceDN w:val="0"/>
        <w:adjustRightInd w:val="0"/>
        <w:spacing w:before="120"/>
        <w:ind w:left="1080" w:hanging="360"/>
        <w:rPr>
          <w:iCs/>
          <w:color w:val="000000"/>
        </w:rPr>
      </w:pPr>
      <w:r w:rsidRPr="00CF70DA">
        <w:rPr>
          <w:iCs/>
          <w:color w:val="000000"/>
        </w:rPr>
        <w:t>Or</w:t>
      </w:r>
    </w:p>
    <w:p w:rsidR="00E02690" w:rsidRPr="00CF70DA" w:rsidRDefault="00E02690" w:rsidP="004D4D5E">
      <w:pPr>
        <w:pStyle w:val="ListParagraph"/>
        <w:numPr>
          <w:ilvl w:val="0"/>
          <w:numId w:val="7"/>
        </w:numPr>
        <w:autoSpaceDE w:val="0"/>
        <w:autoSpaceDN w:val="0"/>
        <w:adjustRightInd w:val="0"/>
        <w:spacing w:before="120" w:after="0" w:line="240" w:lineRule="auto"/>
        <w:contextualSpacing w:val="0"/>
        <w:rPr>
          <w:rFonts w:ascii="Arial" w:hAnsi="Arial" w:cs="Arial"/>
          <w:iCs/>
          <w:color w:val="000000"/>
          <w:sz w:val="24"/>
          <w:szCs w:val="24"/>
        </w:rPr>
      </w:pPr>
      <w:r w:rsidRPr="00CF70DA">
        <w:rPr>
          <w:rFonts w:ascii="Arial" w:hAnsi="Arial" w:cs="Arial"/>
          <w:iCs/>
          <w:color w:val="000000"/>
          <w:sz w:val="24"/>
          <w:szCs w:val="24"/>
        </w:rPr>
        <w:t xml:space="preserve">A </w:t>
      </w:r>
      <w:r w:rsidR="002F5A97">
        <w:rPr>
          <w:rFonts w:ascii="Arial" w:hAnsi="Arial" w:cs="Arial"/>
          <w:iCs/>
          <w:color w:val="000000"/>
          <w:sz w:val="24"/>
          <w:szCs w:val="24"/>
        </w:rPr>
        <w:t xml:space="preserve">signed </w:t>
      </w:r>
      <w:r w:rsidRPr="00CF70DA">
        <w:rPr>
          <w:rFonts w:ascii="Arial" w:hAnsi="Arial" w:cs="Arial"/>
          <w:iCs/>
          <w:color w:val="000000"/>
          <w:sz w:val="24"/>
          <w:szCs w:val="24"/>
        </w:rPr>
        <w:t xml:space="preserve">lender </w:t>
      </w:r>
      <w:r w:rsidR="0022226E" w:rsidRPr="00CF70DA">
        <w:rPr>
          <w:rFonts w:ascii="Arial" w:hAnsi="Arial" w:cs="Arial"/>
          <w:iCs/>
          <w:color w:val="000000"/>
          <w:sz w:val="24"/>
          <w:szCs w:val="24"/>
        </w:rPr>
        <w:t>certification, which</w:t>
      </w:r>
      <w:r w:rsidRPr="00CF70DA">
        <w:rPr>
          <w:rFonts w:ascii="Arial" w:hAnsi="Arial" w:cs="Arial"/>
          <w:iCs/>
          <w:color w:val="000000"/>
          <w:sz w:val="24"/>
          <w:szCs w:val="24"/>
        </w:rPr>
        <w:t xml:space="preserve"> states the borrower (a) received all appraisals or valuation</w:t>
      </w:r>
      <w:r w:rsidR="000A5296" w:rsidRPr="00CF70DA">
        <w:rPr>
          <w:rFonts w:ascii="Arial" w:hAnsi="Arial" w:cs="Arial"/>
          <w:iCs/>
          <w:color w:val="000000"/>
          <w:sz w:val="24"/>
          <w:szCs w:val="24"/>
        </w:rPr>
        <w:t>s</w:t>
      </w:r>
      <w:r w:rsidRPr="00CF70DA">
        <w:rPr>
          <w:rFonts w:ascii="Arial" w:hAnsi="Arial" w:cs="Arial"/>
          <w:iCs/>
          <w:color w:val="000000"/>
          <w:sz w:val="24"/>
          <w:szCs w:val="24"/>
        </w:rPr>
        <w:t xml:space="preserve"> three business days prior to closing or (b) the borrower exercised a waiver of the three-day closing waiting period but received all appraisals and valuations at or before closing.</w:t>
      </w:r>
    </w:p>
    <w:p w:rsidR="00E02690" w:rsidRPr="00CF70DA" w:rsidRDefault="00E02690" w:rsidP="004D4D5E">
      <w:pPr>
        <w:pStyle w:val="ListParagraph"/>
        <w:spacing w:after="0" w:line="240" w:lineRule="auto"/>
        <w:contextualSpacing w:val="0"/>
        <w:rPr>
          <w:rFonts w:ascii="Arial" w:hAnsi="Arial" w:cs="Arial"/>
          <w:iCs/>
          <w:color w:val="000000"/>
          <w:sz w:val="24"/>
          <w:szCs w:val="24"/>
        </w:rPr>
      </w:pPr>
    </w:p>
    <w:p w:rsidR="001D5BC0" w:rsidRDefault="001D5BC0" w:rsidP="004D4D5E">
      <w:pPr>
        <w:ind w:right="-1166"/>
        <w:rPr>
          <w:rFonts w:eastAsia="Arial Unicode MS"/>
        </w:rPr>
      </w:pPr>
    </w:p>
    <w:p w:rsidR="0022226E" w:rsidRPr="00CF70DA" w:rsidRDefault="0022226E" w:rsidP="004D4D5E">
      <w:pPr>
        <w:ind w:right="-1166"/>
        <w:rPr>
          <w:rFonts w:eastAsia="Arial Unicode MS"/>
        </w:rPr>
      </w:pPr>
    </w:p>
    <w:p w:rsidR="00E02690" w:rsidRPr="00CF70DA" w:rsidRDefault="00E02690" w:rsidP="004D4D5E">
      <w:pPr>
        <w:rPr>
          <w:rFonts w:eastAsia="Arial Unicode MS"/>
        </w:rPr>
      </w:pPr>
      <w:r w:rsidRPr="00CF70DA">
        <w:rPr>
          <w:rFonts w:eastAsia="Arial Unicode MS"/>
        </w:rPr>
        <w:t>If you have any questions</w:t>
      </w:r>
      <w:r w:rsidR="001D5BC0" w:rsidRPr="00CF70DA">
        <w:rPr>
          <w:rFonts w:eastAsia="Arial Unicode MS"/>
        </w:rPr>
        <w:t xml:space="preserve"> on these or any compliance-related topics</w:t>
      </w:r>
      <w:r w:rsidRPr="00CF70DA">
        <w:rPr>
          <w:rFonts w:eastAsia="Arial Unicode MS"/>
        </w:rPr>
        <w:t xml:space="preserve">, please contact </w:t>
      </w:r>
      <w:r w:rsidR="007312B7">
        <w:rPr>
          <w:rFonts w:eastAsia="Arial Unicode MS"/>
        </w:rPr>
        <w:t>the Lender Help</w:t>
      </w:r>
      <w:r w:rsidR="00BA2443">
        <w:rPr>
          <w:rFonts w:eastAsia="Arial Unicode MS"/>
        </w:rPr>
        <w:t xml:space="preserve"> </w:t>
      </w:r>
      <w:r w:rsidR="007312B7">
        <w:rPr>
          <w:rFonts w:eastAsia="Arial Unicode MS"/>
        </w:rPr>
        <w:t>Desk at 1-800-562-5165 or MRBP.HelpDesk@usbank.com</w:t>
      </w:r>
      <w:r w:rsidRPr="00CF70DA">
        <w:rPr>
          <w:rFonts w:eastAsia="Arial Unicode MS"/>
        </w:rPr>
        <w:t>.</w:t>
      </w:r>
    </w:p>
    <w:p w:rsidR="00E02690" w:rsidRPr="00CF70DA" w:rsidRDefault="00E02690" w:rsidP="004D4D5E">
      <w:pPr>
        <w:ind w:right="-1166"/>
        <w:rPr>
          <w:rFonts w:eastAsia="Arial Unicode MS"/>
        </w:rPr>
      </w:pPr>
    </w:p>
    <w:p w:rsidR="00E02690" w:rsidRPr="00CF70DA" w:rsidRDefault="00E02690" w:rsidP="004D4D5E">
      <w:pPr>
        <w:ind w:right="-1166"/>
        <w:rPr>
          <w:rFonts w:eastAsia="Arial Unicode MS"/>
        </w:rPr>
      </w:pPr>
      <w:r w:rsidRPr="00CF70DA">
        <w:rPr>
          <w:rFonts w:eastAsia="Arial Unicode MS"/>
        </w:rPr>
        <w:t>We appreciate your continued partnership.</w:t>
      </w:r>
    </w:p>
    <w:p w:rsidR="00E02690" w:rsidRPr="00CF70DA" w:rsidRDefault="00E02690" w:rsidP="004D4D5E"/>
    <w:sectPr w:rsidR="00E02690" w:rsidRPr="00CF70DA" w:rsidSect="00213965">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A64" w:rsidRDefault="00065A64" w:rsidP="00213965">
      <w:r>
        <w:separator/>
      </w:r>
    </w:p>
  </w:endnote>
  <w:endnote w:type="continuationSeparator" w:id="0">
    <w:p w:rsidR="00065A64" w:rsidRDefault="00065A64" w:rsidP="0021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LT Std">
    <w:altName w:val="Helvetica Neue LT Std"/>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65" w:rsidRDefault="00837F38">
    <w:pPr>
      <w:pStyle w:val="Footer"/>
    </w:pPr>
    <w:r>
      <w:rPr>
        <w:noProof/>
      </w:rPr>
      <mc:AlternateContent>
        <mc:Choice Requires="wps">
          <w:drawing>
            <wp:anchor distT="0" distB="0" distL="114300" distR="114300" simplePos="0" relativeHeight="251663360" behindDoc="0" locked="0" layoutInCell="1" allowOverlap="1" wp14:anchorId="2C046188" wp14:editId="3F1E7A7E">
              <wp:simplePos x="0" y="0"/>
              <wp:positionH relativeFrom="column">
                <wp:posOffset>457200</wp:posOffset>
              </wp:positionH>
              <wp:positionV relativeFrom="paragraph">
                <wp:posOffset>-22860</wp:posOffset>
              </wp:positionV>
              <wp:extent cx="6431280" cy="569541"/>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569541"/>
                      </a:xfrm>
                      <a:prstGeom prst="rect">
                        <a:avLst/>
                      </a:prstGeom>
                      <a:noFill/>
                      <a:ln w="9525">
                        <a:noFill/>
                        <a:miter lim="800000"/>
                        <a:headEnd/>
                        <a:tailEnd/>
                      </a:ln>
                    </wps:spPr>
                    <wps:txbx>
                      <w:txbxContent>
                        <w:p w:rsidR="00837F38" w:rsidRDefault="00837F38" w:rsidP="00837F38">
                          <w:pPr>
                            <w:autoSpaceDE w:val="0"/>
                            <w:autoSpaceDN w:val="0"/>
                            <w:adjustRightInd w:val="0"/>
                            <w:rPr>
                              <w:rFonts w:ascii="Arial Narrow" w:hAnsi="Arial Narrow"/>
                              <w:color w:val="000000"/>
                              <w:sz w:val="12"/>
                              <w:szCs w:val="12"/>
                            </w:rPr>
                          </w:pPr>
                          <w:r w:rsidRPr="00964080">
                            <w:rPr>
                              <w:rFonts w:ascii="Arial Narrow" w:hAnsi="Arial Narrow"/>
                              <w:b/>
                              <w:bCs/>
                              <w:color w:val="000000"/>
                              <w:sz w:val="12"/>
                              <w:szCs w:val="12"/>
                            </w:rPr>
                            <w:t>This document is not a Consumer Credit Advertisement and is intended for Correspondent and Wholesale Client Use Only.</w:t>
                          </w:r>
                          <w:r>
                            <w:rPr>
                              <w:rFonts w:ascii="Arial Narrow" w:hAnsi="Arial Narrow"/>
                              <w:b/>
                              <w:bCs/>
                              <w:color w:val="000000"/>
                              <w:sz w:val="12"/>
                              <w:szCs w:val="12"/>
                            </w:rPr>
                            <w:t xml:space="preserve"> </w:t>
                          </w:r>
                          <w:r w:rsidRPr="00964080">
                            <w:rPr>
                              <w:rFonts w:ascii="Arial Narrow" w:hAnsi="Arial Narrow"/>
                              <w:color w:val="000000"/>
                              <w:sz w:val="12"/>
                              <w:szCs w:val="12"/>
                            </w:rPr>
                            <w:t xml:space="preserve">This information is provided to assist Correspondents and Wholesale Clients and is not a consumer credit advertisement as defined by Regulation Z. </w:t>
                          </w:r>
                          <w:r w:rsidRPr="00964080">
                            <w:rPr>
                              <w:rFonts w:ascii="Arial Narrow" w:hAnsi="Arial Narrow" w:cs="Tahoma"/>
                              <w:color w:val="000000"/>
                              <w:sz w:val="12"/>
                              <w:szCs w:val="12"/>
                            </w:rPr>
                            <w:t>Loans</w:t>
                          </w:r>
                          <w:r>
                            <w:rPr>
                              <w:rFonts w:ascii="Arial Narrow" w:hAnsi="Arial Narrow" w:cs="Tahoma"/>
                              <w:color w:val="000000"/>
                              <w:sz w:val="12"/>
                              <w:szCs w:val="12"/>
                            </w:rPr>
                            <w:t xml:space="preserve"> are</w:t>
                          </w:r>
                          <w:r w:rsidRPr="00964080">
                            <w:rPr>
                              <w:rFonts w:ascii="Arial Narrow" w:hAnsi="Arial Narrow" w:cs="Tahoma"/>
                              <w:color w:val="000000"/>
                              <w:sz w:val="12"/>
                              <w:szCs w:val="12"/>
                            </w:rPr>
                            <w:t xml:space="preserve"> subject to normal credit qualification and program</w:t>
                          </w:r>
                          <w:r>
                            <w:rPr>
                              <w:rFonts w:ascii="Arial Narrow" w:hAnsi="Arial Narrow" w:cs="Tahoma"/>
                              <w:color w:val="000000"/>
                              <w:sz w:val="12"/>
                              <w:szCs w:val="12"/>
                            </w:rPr>
                            <w:t xml:space="preserve"> </w:t>
                          </w:r>
                          <w:r w:rsidRPr="00964080">
                            <w:rPr>
                              <w:rFonts w:ascii="Arial Narrow" w:hAnsi="Arial Narrow" w:cs="Tahoma"/>
                              <w:color w:val="000000"/>
                              <w:sz w:val="12"/>
                              <w:szCs w:val="12"/>
                            </w:rPr>
                            <w:t>guidelines. Not all loan programs are available in all states for all loan amounts</w:t>
                          </w:r>
                          <w:r w:rsidRPr="00964080">
                            <w:rPr>
                              <w:rFonts w:ascii="Arial Narrow" w:hAnsi="Arial Narrow"/>
                              <w:color w:val="000000"/>
                              <w:sz w:val="12"/>
                              <w:szCs w:val="12"/>
                            </w:rPr>
                            <w:t>. Interest rates and program terms are subject to change without notice. Visit usbank.com to learn more about U.S. Bank products and services. Mortgage</w:t>
                          </w:r>
                          <w:r>
                            <w:rPr>
                              <w:rFonts w:ascii="Arial Narrow" w:hAnsi="Arial Narrow"/>
                              <w:color w:val="000000"/>
                              <w:sz w:val="12"/>
                              <w:szCs w:val="12"/>
                            </w:rPr>
                            <w:t xml:space="preserve"> products are offered by U.S. Bank National Association.</w:t>
                          </w:r>
                          <w:r w:rsidRPr="00964080">
                            <w:rPr>
                              <w:rFonts w:ascii="Arial Narrow" w:hAnsi="Arial Narrow"/>
                              <w:color w:val="000000"/>
                              <w:sz w:val="12"/>
                              <w:szCs w:val="12"/>
                            </w:rPr>
                            <w:t xml:space="preserve"> Deposit products offered by U.S. Bank National Association, Member</w:t>
                          </w:r>
                          <w:r>
                            <w:rPr>
                              <w:rFonts w:ascii="Arial Narrow" w:hAnsi="Arial Narrow"/>
                              <w:color w:val="000000"/>
                              <w:sz w:val="12"/>
                              <w:szCs w:val="12"/>
                            </w:rPr>
                            <w:t>,</w:t>
                          </w:r>
                          <w:r w:rsidRPr="00964080">
                            <w:rPr>
                              <w:rFonts w:ascii="Arial Narrow" w:hAnsi="Arial Narrow"/>
                              <w:color w:val="000000"/>
                              <w:sz w:val="12"/>
                              <w:szCs w:val="12"/>
                            </w:rPr>
                            <w:t xml:space="preserve"> FDIC. ©2014 U.S. Bank</w:t>
                          </w:r>
                        </w:p>
                        <w:p w:rsidR="00837F38" w:rsidRPr="00964080" w:rsidRDefault="00837F38" w:rsidP="00837F38">
                          <w:pPr>
                            <w:autoSpaceDE w:val="0"/>
                            <w:autoSpaceDN w:val="0"/>
                            <w:adjustRightInd w:val="0"/>
                            <w:rPr>
                              <w:rFonts w:ascii="Arial Narrow" w:hAnsi="Arial Narrow"/>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46188" id="_x0000_t202" coordsize="21600,21600" o:spt="202" path="m,l,21600r21600,l21600,xe">
              <v:stroke joinstyle="miter"/>
              <v:path gradientshapeok="t" o:connecttype="rect"/>
            </v:shapetype>
            <v:shape id="_x0000_s1028" type="#_x0000_t202" style="position:absolute;margin-left:36pt;margin-top:-1.8pt;width:506.4pt;height:4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" filled="f" stroked="f">
              <v:textbox>
                <w:txbxContent>
                  <w:p w:rsidR="00837F38" w:rsidRDefault="00837F38" w:rsidP="00837F38">
                    <w:pPr>
                      <w:autoSpaceDE w:val="0"/>
                      <w:autoSpaceDN w:val="0"/>
                      <w:adjustRightInd w:val="0"/>
                      <w:rPr>
                        <w:rFonts w:ascii="Arial Narrow" w:hAnsi="Arial Narrow"/>
                        <w:color w:val="000000"/>
                        <w:sz w:val="12"/>
                        <w:szCs w:val="12"/>
                      </w:rPr>
                    </w:pPr>
                    <w:r w:rsidRPr="00964080">
                      <w:rPr>
                        <w:rFonts w:ascii="Arial Narrow" w:hAnsi="Arial Narrow"/>
                        <w:b/>
                        <w:bCs/>
                        <w:color w:val="000000"/>
                        <w:sz w:val="12"/>
                        <w:szCs w:val="12"/>
                      </w:rPr>
                      <w:t>This document is not a Consumer Credit Advertisement and is intended for Correspondent and Wholesale Client Use Only.</w:t>
                    </w:r>
                    <w:r>
                      <w:rPr>
                        <w:rFonts w:ascii="Arial Narrow" w:hAnsi="Arial Narrow"/>
                        <w:b/>
                        <w:bCs/>
                        <w:color w:val="000000"/>
                        <w:sz w:val="12"/>
                        <w:szCs w:val="12"/>
                      </w:rPr>
                      <w:t xml:space="preserve"> </w:t>
                    </w:r>
                    <w:r w:rsidRPr="00964080">
                      <w:rPr>
                        <w:rFonts w:ascii="Arial Narrow" w:hAnsi="Arial Narrow"/>
                        <w:color w:val="000000"/>
                        <w:sz w:val="12"/>
                        <w:szCs w:val="12"/>
                      </w:rPr>
                      <w:t xml:space="preserve">This information is provided to assist Correspondents and Wholesale Clients and is not a consumer credit advertisement as defined by Regulation Z. </w:t>
                    </w:r>
                    <w:r w:rsidRPr="00964080">
                      <w:rPr>
                        <w:rFonts w:ascii="Arial Narrow" w:hAnsi="Arial Narrow" w:cs="Tahoma"/>
                        <w:color w:val="000000"/>
                        <w:sz w:val="12"/>
                        <w:szCs w:val="12"/>
                      </w:rPr>
                      <w:t>Loans</w:t>
                    </w:r>
                    <w:r>
                      <w:rPr>
                        <w:rFonts w:ascii="Arial Narrow" w:hAnsi="Arial Narrow" w:cs="Tahoma"/>
                        <w:color w:val="000000"/>
                        <w:sz w:val="12"/>
                        <w:szCs w:val="12"/>
                      </w:rPr>
                      <w:t xml:space="preserve"> are</w:t>
                    </w:r>
                    <w:r w:rsidRPr="00964080">
                      <w:rPr>
                        <w:rFonts w:ascii="Arial Narrow" w:hAnsi="Arial Narrow" w:cs="Tahoma"/>
                        <w:color w:val="000000"/>
                        <w:sz w:val="12"/>
                        <w:szCs w:val="12"/>
                      </w:rPr>
                      <w:t xml:space="preserve"> subject to normal credit qualification and program</w:t>
                    </w:r>
                    <w:r>
                      <w:rPr>
                        <w:rFonts w:ascii="Arial Narrow" w:hAnsi="Arial Narrow" w:cs="Tahoma"/>
                        <w:color w:val="000000"/>
                        <w:sz w:val="12"/>
                        <w:szCs w:val="12"/>
                      </w:rPr>
                      <w:t xml:space="preserve"> </w:t>
                    </w:r>
                    <w:r w:rsidRPr="00964080">
                      <w:rPr>
                        <w:rFonts w:ascii="Arial Narrow" w:hAnsi="Arial Narrow" w:cs="Tahoma"/>
                        <w:color w:val="000000"/>
                        <w:sz w:val="12"/>
                        <w:szCs w:val="12"/>
                      </w:rPr>
                      <w:t>guidelines. Not all loan programs are available in all states for all loan amounts</w:t>
                    </w:r>
                    <w:r w:rsidRPr="00964080">
                      <w:rPr>
                        <w:rFonts w:ascii="Arial Narrow" w:hAnsi="Arial Narrow"/>
                        <w:color w:val="000000"/>
                        <w:sz w:val="12"/>
                        <w:szCs w:val="12"/>
                      </w:rPr>
                      <w:t>. Interest rates and program terms are subject to change without notice. Visit usbank.com to learn more about U.S. Bank products and services. Mortgage</w:t>
                    </w:r>
                    <w:r>
                      <w:rPr>
                        <w:rFonts w:ascii="Arial Narrow" w:hAnsi="Arial Narrow"/>
                        <w:color w:val="000000"/>
                        <w:sz w:val="12"/>
                        <w:szCs w:val="12"/>
                      </w:rPr>
                      <w:t xml:space="preserve"> products are offered by U.S. Bank National Association.</w:t>
                    </w:r>
                    <w:r w:rsidRPr="00964080">
                      <w:rPr>
                        <w:rFonts w:ascii="Arial Narrow" w:hAnsi="Arial Narrow"/>
                        <w:color w:val="000000"/>
                        <w:sz w:val="12"/>
                        <w:szCs w:val="12"/>
                      </w:rPr>
                      <w:t xml:space="preserve"> Deposit products offered by U.S. Bank National Association, Member</w:t>
                    </w:r>
                    <w:r>
                      <w:rPr>
                        <w:rFonts w:ascii="Arial Narrow" w:hAnsi="Arial Narrow"/>
                        <w:color w:val="000000"/>
                        <w:sz w:val="12"/>
                        <w:szCs w:val="12"/>
                      </w:rPr>
                      <w:t>,</w:t>
                    </w:r>
                    <w:r w:rsidRPr="00964080">
                      <w:rPr>
                        <w:rFonts w:ascii="Arial Narrow" w:hAnsi="Arial Narrow"/>
                        <w:color w:val="000000"/>
                        <w:sz w:val="12"/>
                        <w:szCs w:val="12"/>
                      </w:rPr>
                      <w:t xml:space="preserve"> FDIC. ©2014 U.S. Bank</w:t>
                    </w:r>
                  </w:p>
                  <w:p w:rsidR="00837F38" w:rsidRPr="00964080" w:rsidRDefault="00837F38" w:rsidP="00837F38">
                    <w:pPr>
                      <w:autoSpaceDE w:val="0"/>
                      <w:autoSpaceDN w:val="0"/>
                      <w:adjustRightInd w:val="0"/>
                      <w:rPr>
                        <w:rFonts w:ascii="Arial Narrow" w:hAnsi="Arial Narrow"/>
                        <w:sz w:val="12"/>
                        <w:szCs w:val="12"/>
                      </w:rPr>
                    </w:pPr>
                  </w:p>
                </w:txbxContent>
              </v:textbox>
            </v:shape>
          </w:pict>
        </mc:Fallback>
      </mc:AlternateContent>
    </w:r>
    <w:r w:rsidR="007903CD">
      <w:rPr>
        <w:noProof/>
      </w:rPr>
      <w:drawing>
        <wp:anchor distT="0" distB="0" distL="114300" distR="114300" simplePos="0" relativeHeight="251661312" behindDoc="0" locked="0" layoutInCell="1" allowOverlap="1" wp14:anchorId="18B366F8" wp14:editId="3581E414">
          <wp:simplePos x="0" y="0"/>
          <wp:positionH relativeFrom="column">
            <wp:posOffset>1270</wp:posOffset>
          </wp:positionH>
          <wp:positionV relativeFrom="paragraph">
            <wp:posOffset>-87630</wp:posOffset>
          </wp:positionV>
          <wp:extent cx="403860" cy="4692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House_BLK.wmf"/>
                  <pic:cNvPicPr/>
                </pic:nvPicPr>
                <pic:blipFill>
                  <a:blip r:embed="rId1">
                    <a:extLst>
                      <a:ext uri="{28A0092B-C50C-407E-A947-70E740481C1C}">
                        <a14:useLocalDpi xmlns:a14="http://schemas.microsoft.com/office/drawing/2010/main" val="0"/>
                      </a:ext>
                    </a:extLst>
                  </a:blip>
                  <a:stretch>
                    <a:fillRect/>
                  </a:stretch>
                </pic:blipFill>
                <pic:spPr>
                  <a:xfrm>
                    <a:off x="0" y="0"/>
                    <a:ext cx="403860" cy="4692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A64" w:rsidRDefault="00065A64" w:rsidP="00213965">
      <w:r>
        <w:separator/>
      </w:r>
    </w:p>
  </w:footnote>
  <w:footnote w:type="continuationSeparator" w:id="0">
    <w:p w:rsidR="00065A64" w:rsidRDefault="00065A64" w:rsidP="00213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E4CB1A4"/>
    <w:lvl w:ilvl="0">
      <w:numFmt w:val="bullet"/>
      <w:lvlText w:val="*"/>
      <w:lvlJc w:val="left"/>
    </w:lvl>
  </w:abstractNum>
  <w:abstractNum w:abstractNumId="1">
    <w:nsid w:val="11D7101D"/>
    <w:multiLevelType w:val="hybridMultilevel"/>
    <w:tmpl w:val="94D2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83797"/>
    <w:multiLevelType w:val="hybridMultilevel"/>
    <w:tmpl w:val="DE60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F3880"/>
    <w:multiLevelType w:val="hybridMultilevel"/>
    <w:tmpl w:val="79D4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C3F6E"/>
    <w:multiLevelType w:val="hybridMultilevel"/>
    <w:tmpl w:val="2856B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47487A"/>
    <w:multiLevelType w:val="hybridMultilevel"/>
    <w:tmpl w:val="46CEC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474449"/>
    <w:multiLevelType w:val="hybridMultilevel"/>
    <w:tmpl w:val="8A067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65"/>
    <w:rsid w:val="00025E4A"/>
    <w:rsid w:val="00065A64"/>
    <w:rsid w:val="000A082C"/>
    <w:rsid w:val="000A5296"/>
    <w:rsid w:val="000B24AE"/>
    <w:rsid w:val="000B3580"/>
    <w:rsid w:val="000B5935"/>
    <w:rsid w:val="000C2A36"/>
    <w:rsid w:val="000F1ADC"/>
    <w:rsid w:val="000F63F5"/>
    <w:rsid w:val="00190C1D"/>
    <w:rsid w:val="001B1A80"/>
    <w:rsid w:val="001D5BC0"/>
    <w:rsid w:val="00213965"/>
    <w:rsid w:val="0022226E"/>
    <w:rsid w:val="00241E45"/>
    <w:rsid w:val="00287B47"/>
    <w:rsid w:val="002F29A8"/>
    <w:rsid w:val="002F4AD1"/>
    <w:rsid w:val="002F5A97"/>
    <w:rsid w:val="00307354"/>
    <w:rsid w:val="00356864"/>
    <w:rsid w:val="003808E5"/>
    <w:rsid w:val="00391608"/>
    <w:rsid w:val="003A7DC8"/>
    <w:rsid w:val="003B41C2"/>
    <w:rsid w:val="003C56C0"/>
    <w:rsid w:val="003D5EBE"/>
    <w:rsid w:val="003E58DD"/>
    <w:rsid w:val="00406C34"/>
    <w:rsid w:val="00454B16"/>
    <w:rsid w:val="00455756"/>
    <w:rsid w:val="004679C1"/>
    <w:rsid w:val="004D4D5E"/>
    <w:rsid w:val="00505DF8"/>
    <w:rsid w:val="0053147F"/>
    <w:rsid w:val="00531E51"/>
    <w:rsid w:val="00552EF9"/>
    <w:rsid w:val="005B3FC4"/>
    <w:rsid w:val="005D0D3B"/>
    <w:rsid w:val="005F47DA"/>
    <w:rsid w:val="005F5EC3"/>
    <w:rsid w:val="00633611"/>
    <w:rsid w:val="0068119A"/>
    <w:rsid w:val="006A64BF"/>
    <w:rsid w:val="006B237F"/>
    <w:rsid w:val="006B3E52"/>
    <w:rsid w:val="006F78F2"/>
    <w:rsid w:val="00723939"/>
    <w:rsid w:val="007312B7"/>
    <w:rsid w:val="007476B8"/>
    <w:rsid w:val="007903CD"/>
    <w:rsid w:val="007A49C0"/>
    <w:rsid w:val="007F708C"/>
    <w:rsid w:val="00830787"/>
    <w:rsid w:val="00837F38"/>
    <w:rsid w:val="00847DA8"/>
    <w:rsid w:val="008624EE"/>
    <w:rsid w:val="0094604B"/>
    <w:rsid w:val="009764EC"/>
    <w:rsid w:val="009A2412"/>
    <w:rsid w:val="009B2239"/>
    <w:rsid w:val="009D21A6"/>
    <w:rsid w:val="009D6694"/>
    <w:rsid w:val="00A027F5"/>
    <w:rsid w:val="00A455EC"/>
    <w:rsid w:val="00A470F7"/>
    <w:rsid w:val="00A7752F"/>
    <w:rsid w:val="00A85B9C"/>
    <w:rsid w:val="00AB14B8"/>
    <w:rsid w:val="00AF4C6C"/>
    <w:rsid w:val="00B46920"/>
    <w:rsid w:val="00B80064"/>
    <w:rsid w:val="00BA2443"/>
    <w:rsid w:val="00BF2612"/>
    <w:rsid w:val="00C3549D"/>
    <w:rsid w:val="00C848DC"/>
    <w:rsid w:val="00C945A6"/>
    <w:rsid w:val="00CA3F9B"/>
    <w:rsid w:val="00CC23D0"/>
    <w:rsid w:val="00CF70DA"/>
    <w:rsid w:val="00D71244"/>
    <w:rsid w:val="00D749BB"/>
    <w:rsid w:val="00D91849"/>
    <w:rsid w:val="00E02690"/>
    <w:rsid w:val="00E2376F"/>
    <w:rsid w:val="00E35A78"/>
    <w:rsid w:val="00E426C5"/>
    <w:rsid w:val="00E839D2"/>
    <w:rsid w:val="00EA6A75"/>
    <w:rsid w:val="00EC0A4A"/>
    <w:rsid w:val="00ED6050"/>
    <w:rsid w:val="00F55CB6"/>
    <w:rsid w:val="00FB7F5E"/>
    <w:rsid w:val="00FD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4AF3E-EF83-454F-9A48-B5D82669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965"/>
    <w:pPr>
      <w:widowControl w:val="0"/>
      <w:autoSpaceDE w:val="0"/>
      <w:autoSpaceDN w:val="0"/>
      <w:adjustRightInd w:val="0"/>
    </w:pPr>
    <w:rPr>
      <w:rFonts w:ascii="Helvetica Neue LT Std" w:eastAsia="Times New Roman" w:hAnsi="Helvetica Neue LT Std" w:cs="Helvetica Neue LT Std"/>
      <w:color w:val="000000"/>
    </w:rPr>
  </w:style>
  <w:style w:type="paragraph" w:customStyle="1" w:styleId="CM1">
    <w:name w:val="CM1"/>
    <w:basedOn w:val="Default"/>
    <w:next w:val="Default"/>
    <w:uiPriority w:val="99"/>
    <w:rsid w:val="00213965"/>
    <w:rPr>
      <w:rFonts w:cs="Times New Roman"/>
      <w:color w:val="auto"/>
    </w:rPr>
  </w:style>
  <w:style w:type="paragraph" w:styleId="Header">
    <w:name w:val="header"/>
    <w:basedOn w:val="Normal"/>
    <w:link w:val="HeaderChar"/>
    <w:uiPriority w:val="99"/>
    <w:unhideWhenUsed/>
    <w:rsid w:val="00213965"/>
    <w:pPr>
      <w:tabs>
        <w:tab w:val="center" w:pos="4680"/>
        <w:tab w:val="right" w:pos="9360"/>
      </w:tabs>
    </w:pPr>
  </w:style>
  <w:style w:type="character" w:customStyle="1" w:styleId="HeaderChar">
    <w:name w:val="Header Char"/>
    <w:basedOn w:val="DefaultParagraphFont"/>
    <w:link w:val="Header"/>
    <w:uiPriority w:val="99"/>
    <w:rsid w:val="00213965"/>
  </w:style>
  <w:style w:type="paragraph" w:styleId="Footer">
    <w:name w:val="footer"/>
    <w:basedOn w:val="Normal"/>
    <w:link w:val="FooterChar"/>
    <w:uiPriority w:val="99"/>
    <w:unhideWhenUsed/>
    <w:rsid w:val="00213965"/>
    <w:pPr>
      <w:tabs>
        <w:tab w:val="center" w:pos="4680"/>
        <w:tab w:val="right" w:pos="9360"/>
      </w:tabs>
    </w:pPr>
  </w:style>
  <w:style w:type="character" w:customStyle="1" w:styleId="FooterChar">
    <w:name w:val="Footer Char"/>
    <w:basedOn w:val="DefaultParagraphFont"/>
    <w:link w:val="Footer"/>
    <w:uiPriority w:val="99"/>
    <w:rsid w:val="00213965"/>
  </w:style>
  <w:style w:type="paragraph" w:styleId="BalloonText">
    <w:name w:val="Balloon Text"/>
    <w:basedOn w:val="Normal"/>
    <w:link w:val="BalloonTextChar"/>
    <w:uiPriority w:val="99"/>
    <w:semiHidden/>
    <w:unhideWhenUsed/>
    <w:rsid w:val="00213965"/>
    <w:rPr>
      <w:rFonts w:ascii="Tahoma" w:hAnsi="Tahoma" w:cs="Tahoma"/>
      <w:sz w:val="16"/>
      <w:szCs w:val="16"/>
    </w:rPr>
  </w:style>
  <w:style w:type="character" w:customStyle="1" w:styleId="BalloonTextChar">
    <w:name w:val="Balloon Text Char"/>
    <w:basedOn w:val="DefaultParagraphFont"/>
    <w:link w:val="BalloonText"/>
    <w:uiPriority w:val="99"/>
    <w:semiHidden/>
    <w:rsid w:val="00213965"/>
    <w:rPr>
      <w:rFonts w:ascii="Tahoma" w:hAnsi="Tahoma" w:cs="Tahoma"/>
      <w:sz w:val="16"/>
      <w:szCs w:val="16"/>
    </w:rPr>
  </w:style>
  <w:style w:type="character" w:styleId="Hyperlink">
    <w:name w:val="Hyperlink"/>
    <w:basedOn w:val="DefaultParagraphFont"/>
    <w:uiPriority w:val="99"/>
    <w:unhideWhenUsed/>
    <w:rsid w:val="00E02690"/>
    <w:rPr>
      <w:color w:val="0000FF" w:themeColor="hyperlink"/>
      <w:u w:val="single"/>
    </w:rPr>
  </w:style>
  <w:style w:type="paragraph" w:styleId="ListParagraph">
    <w:name w:val="List Paragraph"/>
    <w:basedOn w:val="Normal"/>
    <w:uiPriority w:val="34"/>
    <w:qFormat/>
    <w:rsid w:val="00E02690"/>
    <w:pPr>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7312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sumerfinance.gov/" TargetMode="External"/><Relationship Id="rId18" Type="http://schemas.openxmlformats.org/officeDocument/2006/relationships/hyperlink" Target="http://www.allregs.com/ao/Viewform.aspx?formid=00038910&amp;formtype=agen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onsumerfinance.gov/find-a-housing-counselor/" TargetMode="External"/><Relationship Id="rId17" Type="http://schemas.openxmlformats.org/officeDocument/2006/relationships/hyperlink" Target="http://www.allregs.com/ao/Viewform.aspx?formid=00038910&amp;formtype=agency"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iles.consumerfinance.gov/f/201311_cfpb_bulletin_homeownership-counseling-list-requirements.pdf" TargetMode="External"/><Relationship Id="rId5" Type="http://schemas.openxmlformats.org/officeDocument/2006/relationships/styles" Target="styles.xml"/><Relationship Id="rId15" Type="http://schemas.openxmlformats.org/officeDocument/2006/relationships/hyperlink" Target="http://www.consumerfinance.gov/find-a-housing-counselor/" TargetMode="External"/><Relationship Id="rId10" Type="http://schemas.openxmlformats.org/officeDocument/2006/relationships/hyperlink" Target="http://www.consumerfinance.gov/"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iles.consumerfinance.gov/f/201311_cfpb_bulletin_homeownership-counseling-list-requirement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50226D-CD05-4029-AD73-236B6FA37A71}">
  <ds:schemaRefs>
    <ds:schemaRef ds:uri="http://schemas.microsoft.com/office/2006/metadata/properties"/>
  </ds:schemaRefs>
</ds:datastoreItem>
</file>

<file path=customXml/itemProps2.xml><?xml version="1.0" encoding="utf-8"?>
<ds:datastoreItem xmlns:ds="http://schemas.openxmlformats.org/officeDocument/2006/customXml" ds:itemID="{59D198FE-1F76-4F79-97C3-9BC3D20A56E2}">
  <ds:schemaRefs>
    <ds:schemaRef ds:uri="http://schemas.microsoft.com/sharepoint/v3/contenttype/forms"/>
  </ds:schemaRefs>
</ds:datastoreItem>
</file>

<file path=customXml/itemProps3.xml><?xml version="1.0" encoding="utf-8"?>
<ds:datastoreItem xmlns:ds="http://schemas.openxmlformats.org/officeDocument/2006/customXml" ds:itemID="{7366B74C-E88D-46D6-9187-9E98D3CC8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Bank</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Alleva-Dickey, Nicole D</dc:creator>
  <cp:lastModifiedBy>Nicole Nelson</cp:lastModifiedBy>
  <cp:revision>2</cp:revision>
  <cp:lastPrinted>2014-05-21T20:04:00Z</cp:lastPrinted>
  <dcterms:created xsi:type="dcterms:W3CDTF">2014-07-15T15:55:00Z</dcterms:created>
  <dcterms:modified xsi:type="dcterms:W3CDTF">2014-07-15T15:55:00Z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USBank_x0020_Classifications">
    <vt:lpwstr>Audit and Compliance|Information Systems|Legal|Lending and Leasing</vt:lpwstr>
  </property>
</Properties>
</file>