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B0" w:rsidRPr="00C806B0" w:rsidRDefault="00C806B0" w:rsidP="00C806B0">
      <w:pPr>
        <w:pStyle w:val="BodyText"/>
        <w:ind w:left="0" w:firstLine="720"/>
        <w:jc w:val="center"/>
        <w:outlineLvl w:val="0"/>
        <w:rPr>
          <w:b/>
          <w:bCs/>
          <w:sz w:val="24"/>
          <w:u w:val="single"/>
        </w:rPr>
      </w:pPr>
      <w:r w:rsidRPr="00C806B0">
        <w:rPr>
          <w:b/>
          <w:bCs/>
          <w:sz w:val="24"/>
          <w:u w:val="single"/>
        </w:rPr>
        <w:t>IMPORTANT ANNOUNCEMENT</w:t>
      </w:r>
    </w:p>
    <w:p w:rsidR="00C806B0" w:rsidRPr="00C806B0" w:rsidRDefault="00C806B0" w:rsidP="00C806B0">
      <w:pPr>
        <w:pStyle w:val="BodyText"/>
        <w:ind w:left="0" w:firstLine="720"/>
        <w:outlineLvl w:val="0"/>
        <w:rPr>
          <w:b/>
          <w:bCs/>
          <w:sz w:val="24"/>
          <w:u w:val="single"/>
        </w:rPr>
      </w:pPr>
    </w:p>
    <w:p w:rsidR="00C806B0" w:rsidRPr="00C806B0" w:rsidRDefault="00C806B0" w:rsidP="00C806B0">
      <w:pPr>
        <w:pStyle w:val="BodyText"/>
        <w:ind w:left="0" w:firstLine="720"/>
        <w:outlineLvl w:val="0"/>
        <w:rPr>
          <w:b/>
          <w:bCs/>
          <w:sz w:val="24"/>
        </w:rPr>
      </w:pPr>
      <w:r w:rsidRPr="00C806B0">
        <w:rPr>
          <w:b/>
          <w:bCs/>
          <w:sz w:val="24"/>
        </w:rPr>
        <w:t xml:space="preserve">TO:  ALL </w:t>
      </w:r>
      <w:r>
        <w:rPr>
          <w:b/>
          <w:bCs/>
          <w:sz w:val="24"/>
        </w:rPr>
        <w:t>SUB-SERVICERS AND INTER</w:t>
      </w:r>
      <w:r w:rsidR="00737E39">
        <w:rPr>
          <w:b/>
          <w:bCs/>
          <w:sz w:val="24"/>
        </w:rPr>
        <w:t>E</w:t>
      </w:r>
      <w:r>
        <w:rPr>
          <w:b/>
          <w:bCs/>
          <w:sz w:val="24"/>
        </w:rPr>
        <w:t>STED PARTIES</w:t>
      </w:r>
    </w:p>
    <w:p w:rsidR="00C806B0" w:rsidRPr="00C806B0" w:rsidRDefault="00C806B0" w:rsidP="00C806B0">
      <w:pPr>
        <w:pStyle w:val="BodyText"/>
        <w:ind w:left="0" w:firstLine="720"/>
        <w:outlineLvl w:val="0"/>
        <w:rPr>
          <w:b/>
          <w:bCs/>
          <w:sz w:val="24"/>
        </w:rPr>
      </w:pPr>
      <w:r w:rsidRPr="00C806B0">
        <w:rPr>
          <w:b/>
          <w:bCs/>
          <w:sz w:val="24"/>
        </w:rPr>
        <w:t xml:space="preserve">RE:  </w:t>
      </w:r>
      <w:r>
        <w:rPr>
          <w:b/>
          <w:bCs/>
          <w:sz w:val="24"/>
        </w:rPr>
        <w:t>SUBORDINATION OF NHD 2</w:t>
      </w:r>
      <w:r w:rsidRPr="00C806B0">
        <w:rPr>
          <w:b/>
          <w:bCs/>
          <w:sz w:val="24"/>
          <w:vertAlign w:val="superscript"/>
        </w:rPr>
        <w:t>ND</w:t>
      </w:r>
      <w:r>
        <w:rPr>
          <w:b/>
          <w:bCs/>
          <w:sz w:val="24"/>
        </w:rPr>
        <w:t xml:space="preserve"> MORTGAGES</w:t>
      </w:r>
    </w:p>
    <w:p w:rsidR="00C806B0" w:rsidRDefault="00C806B0" w:rsidP="00B140C3">
      <w:pPr>
        <w:pStyle w:val="BodyText"/>
        <w:ind w:left="0" w:firstLine="720"/>
        <w:outlineLvl w:val="0"/>
        <w:rPr>
          <w:b/>
          <w:bCs/>
          <w:sz w:val="24"/>
          <w:u w:val="single"/>
        </w:rPr>
      </w:pPr>
    </w:p>
    <w:p w:rsidR="003B416E" w:rsidRPr="00A517E9" w:rsidRDefault="003B416E" w:rsidP="003B416E">
      <w:pPr>
        <w:pStyle w:val="BodyText"/>
        <w:ind w:left="0"/>
        <w:outlineLvl w:val="0"/>
        <w:rPr>
          <w:bCs/>
          <w:sz w:val="24"/>
        </w:rPr>
      </w:pPr>
      <w:r w:rsidRPr="00A517E9">
        <w:rPr>
          <w:bCs/>
          <w:sz w:val="24"/>
        </w:rPr>
        <w:t xml:space="preserve">Nevada Housing Division has delegated authority to Bank of America, </w:t>
      </w:r>
      <w:r w:rsidR="00AA0C66">
        <w:rPr>
          <w:bCs/>
          <w:sz w:val="24"/>
        </w:rPr>
        <w:t xml:space="preserve">the </w:t>
      </w:r>
      <w:r w:rsidRPr="00A517E9">
        <w:rPr>
          <w:bCs/>
          <w:sz w:val="24"/>
        </w:rPr>
        <w:t xml:space="preserve">previous master servicer for the Division, </w:t>
      </w:r>
      <w:r w:rsidR="00AA0C66">
        <w:rPr>
          <w:bCs/>
          <w:sz w:val="24"/>
        </w:rPr>
        <w:t>and now the servicer of second</w:t>
      </w:r>
      <w:r w:rsidRPr="00A517E9">
        <w:rPr>
          <w:bCs/>
          <w:sz w:val="24"/>
        </w:rPr>
        <w:t xml:space="preserve"> mortgages</w:t>
      </w:r>
      <w:r w:rsidR="00AA0C66">
        <w:rPr>
          <w:bCs/>
          <w:sz w:val="24"/>
        </w:rPr>
        <w:t>,</w:t>
      </w:r>
      <w:r w:rsidR="00A517E9">
        <w:rPr>
          <w:bCs/>
          <w:sz w:val="24"/>
        </w:rPr>
        <w:t xml:space="preserve"> to consider and approve subordination requests </w:t>
      </w:r>
      <w:r w:rsidRPr="00A517E9">
        <w:rPr>
          <w:bCs/>
          <w:sz w:val="24"/>
        </w:rPr>
        <w:t>on behalf of the Division</w:t>
      </w:r>
      <w:r w:rsidR="00AA0C66">
        <w:rPr>
          <w:bCs/>
          <w:sz w:val="24"/>
        </w:rPr>
        <w:t>,</w:t>
      </w:r>
      <w:r w:rsidRPr="00A517E9">
        <w:rPr>
          <w:bCs/>
          <w:sz w:val="24"/>
        </w:rPr>
        <w:t xml:space="preserve"> if the loan meets the requirements outlined in our Subordination Policy.  </w:t>
      </w:r>
    </w:p>
    <w:p w:rsidR="00C806B0" w:rsidRPr="00A517E9" w:rsidRDefault="00C806B0" w:rsidP="003B416E">
      <w:pPr>
        <w:pStyle w:val="BodyText"/>
        <w:ind w:left="0"/>
        <w:outlineLvl w:val="0"/>
        <w:rPr>
          <w:bCs/>
          <w:sz w:val="24"/>
        </w:rPr>
      </w:pPr>
      <w:r w:rsidRPr="00A517E9">
        <w:rPr>
          <w:bCs/>
          <w:sz w:val="24"/>
        </w:rPr>
        <w:t>Attached to this announcement is the current Subordination Policy effective October 1</w:t>
      </w:r>
      <w:r w:rsidR="003B416E" w:rsidRPr="00A517E9">
        <w:rPr>
          <w:bCs/>
          <w:sz w:val="24"/>
        </w:rPr>
        <w:t>,</w:t>
      </w:r>
      <w:r w:rsidRPr="00A517E9">
        <w:rPr>
          <w:bCs/>
          <w:sz w:val="24"/>
        </w:rPr>
        <w:t xml:space="preserve"> 2013.  </w:t>
      </w:r>
      <w:r w:rsidR="003B416E" w:rsidRPr="00A517E9">
        <w:rPr>
          <w:bCs/>
          <w:sz w:val="24"/>
        </w:rPr>
        <w:t xml:space="preserve">Third party </w:t>
      </w:r>
      <w:r w:rsidR="005D51C6">
        <w:rPr>
          <w:bCs/>
          <w:sz w:val="24"/>
        </w:rPr>
        <w:t>requests may</w:t>
      </w:r>
      <w:r w:rsidR="00A517E9" w:rsidRPr="00A517E9">
        <w:rPr>
          <w:bCs/>
          <w:sz w:val="24"/>
        </w:rPr>
        <w:t xml:space="preserve"> be directed to Bank of America’s customer service department at the numbers listed below: </w:t>
      </w:r>
    </w:p>
    <w:tbl>
      <w:tblPr>
        <w:tblpPr w:leftFromText="180" w:rightFromText="180" w:vertAnchor="text" w:tblpXSpec="center" w:tblpY="1"/>
        <w:tblOverlap w:val="never"/>
        <w:tblW w:w="6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634"/>
      </w:tblGrid>
      <w:tr w:rsidR="00A517E9">
        <w:trPr>
          <w:trHeight w:val="349"/>
        </w:trPr>
        <w:tc>
          <w:tcPr>
            <w:tcW w:w="43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CC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E9" w:rsidRDefault="00A517E9" w:rsidP="00A517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1F497D"/>
              </w:rPr>
              <w:t>Home Equity Lines or Credit  (HELOC) or Home Equity Loan (</w:t>
            </w:r>
            <w:r>
              <w:rPr>
                <w:color w:val="000000"/>
              </w:rPr>
              <w:t>HELOAN</w:t>
            </w:r>
            <w:r>
              <w:rPr>
                <w:color w:val="1F497D"/>
              </w:rPr>
              <w:t>) with account numbers of 10 digits or less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34" w:type="dxa"/>
            <w:tcBorders>
              <w:top w:val="single" w:sz="2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CC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E9" w:rsidRDefault="00A517E9" w:rsidP="00A517E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</w:rPr>
              <w:t xml:space="preserve">800-669-5864 </w:t>
            </w:r>
          </w:p>
        </w:tc>
      </w:tr>
      <w:tr w:rsidR="00A517E9">
        <w:trPr>
          <w:trHeight w:val="349"/>
        </w:trPr>
        <w:tc>
          <w:tcPr>
            <w:tcW w:w="4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CC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E9" w:rsidRDefault="00A517E9" w:rsidP="00A517E9">
            <w:pPr>
              <w:rPr>
                <w:color w:val="000000"/>
              </w:rPr>
            </w:pPr>
            <w:r>
              <w:rPr>
                <w:color w:val="1F497D"/>
              </w:rPr>
              <w:t>Home Equity Lines of Credit (HELOC) with account number of 14 digits beginning with 68 and ending with 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CC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E9" w:rsidRDefault="00A517E9" w:rsidP="00A517E9">
            <w:pPr>
              <w:rPr>
                <w:color w:val="000000"/>
              </w:rPr>
            </w:pPr>
            <w:r>
              <w:rPr>
                <w:color w:val="000000"/>
              </w:rPr>
              <w:t xml:space="preserve">800-934-5626 </w:t>
            </w:r>
          </w:p>
        </w:tc>
      </w:tr>
    </w:tbl>
    <w:p w:rsidR="00A517E9" w:rsidRDefault="00A517E9" w:rsidP="00A517E9">
      <w:pPr>
        <w:jc w:val="both"/>
        <w:rPr>
          <w:b/>
          <w:bCs/>
          <w:sz w:val="24"/>
          <w:u w:val="single"/>
        </w:rPr>
      </w:pPr>
    </w:p>
    <w:p w:rsidR="00A517E9" w:rsidRDefault="00A517E9" w:rsidP="00A517E9">
      <w:pPr>
        <w:jc w:val="both"/>
        <w:rPr>
          <w:b/>
          <w:bCs/>
          <w:sz w:val="24"/>
          <w:u w:val="single"/>
        </w:rPr>
      </w:pPr>
    </w:p>
    <w:p w:rsidR="00A517E9" w:rsidRDefault="00A517E9" w:rsidP="00A517E9">
      <w:pPr>
        <w:jc w:val="both"/>
        <w:rPr>
          <w:b/>
          <w:bCs/>
          <w:sz w:val="24"/>
          <w:u w:val="single"/>
        </w:rPr>
      </w:pPr>
    </w:p>
    <w:p w:rsidR="00A517E9" w:rsidRDefault="00A517E9" w:rsidP="00A517E9">
      <w:pPr>
        <w:jc w:val="both"/>
        <w:rPr>
          <w:b/>
          <w:bCs/>
          <w:sz w:val="24"/>
          <w:u w:val="single"/>
        </w:rPr>
      </w:pPr>
    </w:p>
    <w:p w:rsidR="00A517E9" w:rsidRDefault="00A517E9" w:rsidP="00A517E9">
      <w:pPr>
        <w:jc w:val="both"/>
        <w:rPr>
          <w:b/>
          <w:bCs/>
          <w:sz w:val="24"/>
          <w:u w:val="single"/>
        </w:rPr>
      </w:pPr>
    </w:p>
    <w:p w:rsidR="00A517E9" w:rsidRDefault="00A517E9" w:rsidP="00A517E9">
      <w:pPr>
        <w:jc w:val="both"/>
        <w:rPr>
          <w:bCs/>
          <w:sz w:val="24"/>
        </w:rPr>
      </w:pPr>
    </w:p>
    <w:p w:rsidR="00A517E9" w:rsidRPr="00A517E9" w:rsidRDefault="00A517E9" w:rsidP="00A517E9">
      <w:pPr>
        <w:jc w:val="both"/>
        <w:rPr>
          <w:rFonts w:ascii="Arial" w:eastAsia="Times New Roman" w:hAnsi="Arial" w:cs="Times New Roman"/>
          <w:bCs/>
          <w:spacing w:val="-5"/>
          <w:sz w:val="24"/>
          <w:szCs w:val="20"/>
        </w:rPr>
      </w:pPr>
      <w:r w:rsidRPr="00A517E9">
        <w:rPr>
          <w:rFonts w:ascii="Arial" w:eastAsia="Times New Roman" w:hAnsi="Arial" w:cs="Times New Roman"/>
          <w:bCs/>
          <w:spacing w:val="-5"/>
          <w:sz w:val="24"/>
          <w:szCs w:val="20"/>
        </w:rPr>
        <w:t>Additional questions regarding Nevada Housing Div</w:t>
      </w:r>
      <w:r w:rsidR="00AA0C66">
        <w:rPr>
          <w:rFonts w:ascii="Arial" w:eastAsia="Times New Roman" w:hAnsi="Arial" w:cs="Times New Roman"/>
          <w:bCs/>
          <w:spacing w:val="-5"/>
          <w:sz w:val="24"/>
          <w:szCs w:val="20"/>
        </w:rPr>
        <w:t>ision’s Subordination Policy may</w:t>
      </w:r>
      <w:r w:rsidRPr="00A517E9">
        <w:rPr>
          <w:rFonts w:ascii="Arial" w:eastAsia="Times New Roman" w:hAnsi="Arial" w:cs="Times New Roman"/>
          <w:bCs/>
          <w:spacing w:val="-5"/>
          <w:sz w:val="24"/>
          <w:szCs w:val="20"/>
        </w:rPr>
        <w:t xml:space="preserve"> be directed to the Single Family Department at </w:t>
      </w:r>
      <w:r w:rsidR="00B319B5">
        <w:rPr>
          <w:rFonts w:ascii="Arial" w:eastAsia="Times New Roman" w:hAnsi="Arial" w:cs="Times New Roman"/>
          <w:bCs/>
          <w:spacing w:val="-5"/>
          <w:sz w:val="24"/>
          <w:szCs w:val="20"/>
        </w:rPr>
        <w:t>775-687-2038</w:t>
      </w:r>
      <w:r w:rsidR="00AA0C66">
        <w:rPr>
          <w:rFonts w:ascii="Arial" w:eastAsia="Times New Roman" w:hAnsi="Arial" w:cs="Times New Roman"/>
          <w:bCs/>
          <w:spacing w:val="-5"/>
          <w:sz w:val="24"/>
          <w:szCs w:val="20"/>
        </w:rPr>
        <w:t>,</w:t>
      </w:r>
      <w:r w:rsidRPr="00A517E9">
        <w:rPr>
          <w:rFonts w:ascii="Arial" w:eastAsia="Times New Roman" w:hAnsi="Arial" w:cs="Times New Roman"/>
          <w:bCs/>
          <w:spacing w:val="-5"/>
          <w:sz w:val="24"/>
          <w:szCs w:val="20"/>
        </w:rPr>
        <w:t xml:space="preserve"> with </w:t>
      </w:r>
      <w:r w:rsidR="00B319B5">
        <w:rPr>
          <w:rFonts w:ascii="Arial" w:eastAsia="Times New Roman" w:hAnsi="Arial" w:cs="Times New Roman"/>
          <w:bCs/>
          <w:spacing w:val="-5"/>
          <w:sz w:val="24"/>
          <w:szCs w:val="20"/>
        </w:rPr>
        <w:t>Phyllis Zink</w:t>
      </w:r>
      <w:r w:rsidRPr="00A517E9">
        <w:rPr>
          <w:rFonts w:ascii="Arial" w:eastAsia="Times New Roman" w:hAnsi="Arial" w:cs="Times New Roman"/>
          <w:bCs/>
          <w:spacing w:val="-5"/>
          <w:sz w:val="24"/>
          <w:szCs w:val="20"/>
        </w:rPr>
        <w:t xml:space="preserve">, </w:t>
      </w:r>
      <w:r w:rsidR="00B319B5">
        <w:rPr>
          <w:rFonts w:ascii="Arial" w:eastAsia="Times New Roman" w:hAnsi="Arial" w:cs="Times New Roman"/>
          <w:bCs/>
          <w:spacing w:val="-5"/>
          <w:sz w:val="24"/>
          <w:szCs w:val="20"/>
        </w:rPr>
        <w:t>Chief Accountant</w:t>
      </w:r>
    </w:p>
    <w:p w:rsidR="00A517E9" w:rsidRPr="00A517E9" w:rsidRDefault="00A517E9" w:rsidP="00A517E9">
      <w:pPr>
        <w:rPr>
          <w:rFonts w:ascii="Arial" w:eastAsia="Times New Roman" w:hAnsi="Arial" w:cs="Times New Roman"/>
          <w:bCs/>
          <w:spacing w:val="-5"/>
          <w:sz w:val="24"/>
          <w:szCs w:val="20"/>
        </w:rPr>
      </w:pPr>
      <w:r w:rsidRPr="00A517E9">
        <w:rPr>
          <w:rFonts w:ascii="Arial" w:eastAsia="Times New Roman" w:hAnsi="Arial" w:cs="Times New Roman"/>
          <w:bCs/>
          <w:spacing w:val="-5"/>
          <w:sz w:val="24"/>
          <w:szCs w:val="20"/>
        </w:rPr>
        <w:t xml:space="preserve">Sincerely, </w:t>
      </w:r>
    </w:p>
    <w:p w:rsidR="00A517E9" w:rsidRPr="00A517E9" w:rsidRDefault="00A517E9" w:rsidP="00A517E9">
      <w:pPr>
        <w:rPr>
          <w:rFonts w:ascii="Arial" w:eastAsia="Times New Roman" w:hAnsi="Arial" w:cs="Times New Roman"/>
          <w:b/>
          <w:bCs/>
          <w:spacing w:val="-5"/>
          <w:sz w:val="24"/>
          <w:szCs w:val="20"/>
        </w:rPr>
      </w:pPr>
      <w:r w:rsidRPr="00A517E9">
        <w:rPr>
          <w:rFonts w:ascii="Arial" w:eastAsia="Times New Roman" w:hAnsi="Arial" w:cs="Times New Roman"/>
          <w:b/>
          <w:bCs/>
          <w:spacing w:val="-5"/>
          <w:sz w:val="24"/>
          <w:szCs w:val="20"/>
        </w:rPr>
        <w:t>NEVADA HOUSING DIVISION</w:t>
      </w:r>
    </w:p>
    <w:p w:rsidR="00A517E9" w:rsidRPr="00A517E9" w:rsidRDefault="00A517E9" w:rsidP="00A517E9">
      <w:pPr>
        <w:jc w:val="both"/>
        <w:rPr>
          <w:rFonts w:ascii="Arial" w:eastAsia="Times New Roman" w:hAnsi="Arial" w:cs="Times New Roman"/>
          <w:bCs/>
          <w:spacing w:val="-5"/>
          <w:sz w:val="24"/>
          <w:szCs w:val="20"/>
        </w:rPr>
      </w:pPr>
    </w:p>
    <w:p w:rsidR="00A517E9" w:rsidRDefault="00A517E9">
      <w:pPr>
        <w:rPr>
          <w:bCs/>
          <w:sz w:val="24"/>
        </w:rPr>
      </w:pPr>
      <w:r>
        <w:rPr>
          <w:bCs/>
          <w:sz w:val="24"/>
        </w:rPr>
        <w:br w:type="page"/>
      </w:r>
    </w:p>
    <w:p w:rsidR="00B140C3" w:rsidRDefault="00B140C3" w:rsidP="00A517E9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GENERAL SUBORDINATION REQUIREMENTS:</w:t>
      </w:r>
    </w:p>
    <w:p w:rsidR="00B140C3" w:rsidRPr="00B140C3" w:rsidRDefault="00B140C3" w:rsidP="00B140C3">
      <w:pPr>
        <w:pStyle w:val="BodyText"/>
        <w:numPr>
          <w:ilvl w:val="0"/>
          <w:numId w:val="1"/>
        </w:numPr>
        <w:outlineLvl w:val="0"/>
        <w:rPr>
          <w:b/>
          <w:bCs/>
          <w:i/>
          <w:sz w:val="24"/>
        </w:rPr>
      </w:pPr>
      <w:r w:rsidRPr="00B140C3">
        <w:rPr>
          <w:b/>
          <w:bCs/>
          <w:i/>
          <w:sz w:val="24"/>
        </w:rPr>
        <w:t>All subordinations are considered on a cas</w:t>
      </w:r>
      <w:r>
        <w:rPr>
          <w:b/>
          <w:bCs/>
          <w:i/>
          <w:sz w:val="24"/>
        </w:rPr>
        <w:t xml:space="preserve">e by </w:t>
      </w:r>
      <w:r w:rsidR="00AA0C66">
        <w:rPr>
          <w:b/>
          <w:bCs/>
          <w:i/>
          <w:sz w:val="24"/>
        </w:rPr>
        <w:t>case basis.  T</w:t>
      </w:r>
      <w:r w:rsidRPr="00B140C3">
        <w:rPr>
          <w:b/>
          <w:bCs/>
          <w:i/>
          <w:sz w:val="24"/>
        </w:rPr>
        <w:t>he list below is a minimum guideline for subordination consideration.</w:t>
      </w:r>
      <w:r w:rsidR="006C789F">
        <w:rPr>
          <w:b/>
          <w:bCs/>
          <w:i/>
          <w:sz w:val="24"/>
        </w:rPr>
        <w:t xml:space="preserve">  </w:t>
      </w:r>
      <w:r w:rsidR="00515AD1">
        <w:rPr>
          <w:b/>
          <w:bCs/>
          <w:i/>
          <w:sz w:val="24"/>
        </w:rPr>
        <w:t xml:space="preserve">If your file does not meet the guidelines outlined below, please escalate your request with </w:t>
      </w:r>
      <w:r w:rsidR="00AA0C66">
        <w:rPr>
          <w:b/>
          <w:bCs/>
          <w:i/>
          <w:sz w:val="24"/>
        </w:rPr>
        <w:t xml:space="preserve">any </w:t>
      </w:r>
      <w:r w:rsidR="00515AD1">
        <w:rPr>
          <w:b/>
          <w:bCs/>
          <w:i/>
          <w:sz w:val="24"/>
        </w:rPr>
        <w:t xml:space="preserve">back-up </w:t>
      </w:r>
      <w:r w:rsidR="00AA0C66">
        <w:rPr>
          <w:b/>
          <w:bCs/>
          <w:i/>
          <w:sz w:val="24"/>
        </w:rPr>
        <w:t xml:space="preserve">information </w:t>
      </w:r>
      <w:r w:rsidR="00515AD1">
        <w:rPr>
          <w:b/>
          <w:bCs/>
          <w:i/>
          <w:sz w:val="24"/>
        </w:rPr>
        <w:t xml:space="preserve">to the Division for consideration by emailing </w:t>
      </w:r>
      <w:r w:rsidR="00B319B5">
        <w:rPr>
          <w:b/>
          <w:bCs/>
          <w:i/>
          <w:sz w:val="24"/>
        </w:rPr>
        <w:t>Phyllis Zink</w:t>
      </w:r>
      <w:bookmarkStart w:id="0" w:name="_GoBack"/>
      <w:bookmarkEnd w:id="0"/>
      <w:r w:rsidR="00515AD1">
        <w:rPr>
          <w:b/>
          <w:bCs/>
          <w:i/>
          <w:sz w:val="24"/>
        </w:rPr>
        <w:t xml:space="preserve"> at </w:t>
      </w:r>
      <w:hyperlink r:id="rId8" w:history="1">
        <w:r w:rsidR="00B319B5" w:rsidRPr="00672E6D">
          <w:rPr>
            <w:rStyle w:val="Hyperlink"/>
            <w:b/>
            <w:bCs/>
            <w:i/>
            <w:sz w:val="24"/>
          </w:rPr>
          <w:t>pzink@housing.nv.gov</w:t>
        </w:r>
      </w:hyperlink>
      <w:r w:rsidR="00515AD1">
        <w:rPr>
          <w:b/>
          <w:bCs/>
          <w:i/>
          <w:sz w:val="24"/>
        </w:rPr>
        <w:t xml:space="preserve">. </w:t>
      </w:r>
    </w:p>
    <w:p w:rsidR="00B140C3" w:rsidRDefault="00B140C3" w:rsidP="00B140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D0F9B">
        <w:rPr>
          <w:sz w:val="24"/>
          <w:szCs w:val="24"/>
        </w:rPr>
        <w:t>There must be a benefit to the borrower (lower rate, lower payment, shortened</w:t>
      </w:r>
      <w:r>
        <w:rPr>
          <w:sz w:val="24"/>
          <w:szCs w:val="24"/>
        </w:rPr>
        <w:t xml:space="preserve"> term,</w:t>
      </w:r>
      <w:r w:rsidRPr="00B140C3">
        <w:rPr>
          <w:sz w:val="24"/>
          <w:szCs w:val="24"/>
        </w:rPr>
        <w:t xml:space="preserve"> </w:t>
      </w:r>
      <w:r w:rsidR="003A6D34">
        <w:rPr>
          <w:sz w:val="24"/>
          <w:szCs w:val="24"/>
        </w:rPr>
        <w:t>risk reduction</w:t>
      </w:r>
      <w:r w:rsidR="00AA0C66">
        <w:rPr>
          <w:sz w:val="24"/>
          <w:szCs w:val="24"/>
        </w:rPr>
        <w:t>, i.e.,</w:t>
      </w:r>
      <w:r w:rsidR="003A6D34">
        <w:rPr>
          <w:sz w:val="24"/>
          <w:szCs w:val="24"/>
        </w:rPr>
        <w:t xml:space="preserve"> </w:t>
      </w:r>
      <w:r w:rsidR="00A06AFC">
        <w:rPr>
          <w:sz w:val="24"/>
          <w:szCs w:val="24"/>
        </w:rPr>
        <w:t>from an</w:t>
      </w:r>
      <w:r w:rsidR="003A6D34">
        <w:rPr>
          <w:sz w:val="24"/>
          <w:szCs w:val="24"/>
        </w:rPr>
        <w:t xml:space="preserve"> </w:t>
      </w:r>
      <w:r w:rsidRPr="00B140C3">
        <w:rPr>
          <w:sz w:val="24"/>
          <w:szCs w:val="24"/>
        </w:rPr>
        <w:t>interest only or negative amortization to a fixed product</w:t>
      </w:r>
      <w:r>
        <w:rPr>
          <w:sz w:val="24"/>
          <w:szCs w:val="24"/>
        </w:rPr>
        <w:t>)</w:t>
      </w:r>
      <w:r w:rsidRPr="00B140C3">
        <w:rPr>
          <w:sz w:val="24"/>
          <w:szCs w:val="24"/>
        </w:rPr>
        <w:t xml:space="preserve">. </w:t>
      </w:r>
      <w:r w:rsidR="009622BA">
        <w:rPr>
          <w:sz w:val="24"/>
          <w:szCs w:val="24"/>
        </w:rPr>
        <w:t xml:space="preserve">  </w:t>
      </w:r>
      <w:r w:rsidR="00AA0C66">
        <w:rPr>
          <w:sz w:val="24"/>
          <w:szCs w:val="24"/>
        </w:rPr>
        <w:t>The Lender must</w:t>
      </w:r>
      <w:r w:rsidR="009622BA">
        <w:rPr>
          <w:sz w:val="24"/>
          <w:szCs w:val="24"/>
        </w:rPr>
        <w:t xml:space="preserve"> outline </w:t>
      </w:r>
      <w:r w:rsidR="00AA0C66">
        <w:rPr>
          <w:sz w:val="24"/>
          <w:szCs w:val="24"/>
        </w:rPr>
        <w:t>the benefits to borrower i</w:t>
      </w:r>
      <w:r w:rsidR="009622BA">
        <w:rPr>
          <w:sz w:val="24"/>
          <w:szCs w:val="24"/>
        </w:rPr>
        <w:t xml:space="preserve">n their request.  </w:t>
      </w:r>
    </w:p>
    <w:p w:rsidR="00E44697" w:rsidRDefault="00E44697" w:rsidP="00E44697">
      <w:pPr>
        <w:pStyle w:val="NoSpacing"/>
        <w:ind w:left="1555"/>
        <w:rPr>
          <w:sz w:val="24"/>
          <w:szCs w:val="24"/>
        </w:rPr>
      </w:pPr>
    </w:p>
    <w:p w:rsidR="00E44697" w:rsidRPr="00B140C3" w:rsidRDefault="00E44697" w:rsidP="00B140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increase in the new first lien must not exceed $5,000.00 OR the increase must </w:t>
      </w:r>
      <w:r w:rsidR="00AA0C66">
        <w:rPr>
          <w:sz w:val="24"/>
          <w:szCs w:val="24"/>
        </w:rPr>
        <w:t>be recaptured within 48 months, which is c</w:t>
      </w:r>
      <w:r>
        <w:rPr>
          <w:sz w:val="24"/>
          <w:szCs w:val="24"/>
        </w:rPr>
        <w:t xml:space="preserve">alculated from the payoff statement of the lien being refinanced (Max loan = total payoff </w:t>
      </w:r>
      <w:r w:rsidR="00495BAC">
        <w:rPr>
          <w:sz w:val="24"/>
          <w:szCs w:val="24"/>
        </w:rPr>
        <w:t>+$5,000.00).  I</w:t>
      </w:r>
      <w:r>
        <w:rPr>
          <w:sz w:val="24"/>
          <w:szCs w:val="24"/>
        </w:rPr>
        <w:t xml:space="preserve">f the loan amount exceeds this, the subordination may still be approved provided </w:t>
      </w:r>
      <w:r w:rsidR="00AA0C66">
        <w:rPr>
          <w:sz w:val="24"/>
          <w:szCs w:val="24"/>
        </w:rPr>
        <w:t xml:space="preserve">that: the </w:t>
      </w:r>
      <w:r w:rsidRPr="00495BAC">
        <w:rPr>
          <w:sz w:val="24"/>
          <w:szCs w:val="24"/>
        </w:rPr>
        <w:t>ne</w:t>
      </w:r>
      <w:r w:rsidR="00495BAC" w:rsidRPr="00495BAC">
        <w:rPr>
          <w:sz w:val="24"/>
          <w:szCs w:val="24"/>
        </w:rPr>
        <w:t>w loan amount less</w:t>
      </w:r>
      <w:r w:rsidR="00495BAC">
        <w:rPr>
          <w:sz w:val="24"/>
          <w:szCs w:val="24"/>
        </w:rPr>
        <w:t xml:space="preserve"> </w:t>
      </w:r>
      <w:r w:rsidR="00AA0C66">
        <w:rPr>
          <w:sz w:val="24"/>
          <w:szCs w:val="24"/>
        </w:rPr>
        <w:t xml:space="preserve">the payoff amount divided by the </w:t>
      </w:r>
      <w:r w:rsidR="00495BAC">
        <w:rPr>
          <w:sz w:val="24"/>
          <w:szCs w:val="24"/>
        </w:rPr>
        <w:t>current P</w:t>
      </w:r>
      <w:r w:rsidR="00AA0C66">
        <w:rPr>
          <w:sz w:val="24"/>
          <w:szCs w:val="24"/>
        </w:rPr>
        <w:t>I and MI payment less the new PI and MI payment</w:t>
      </w:r>
      <w:r w:rsidR="00495BAC">
        <w:rPr>
          <w:sz w:val="24"/>
          <w:szCs w:val="24"/>
        </w:rPr>
        <w:t xml:space="preserve"> is equal to or less than 48 months.</w:t>
      </w:r>
    </w:p>
    <w:p w:rsidR="00B140C3" w:rsidRPr="00B140C3" w:rsidRDefault="00B140C3" w:rsidP="00B140C3">
      <w:pPr>
        <w:pStyle w:val="NoSpacing"/>
        <w:ind w:left="0"/>
        <w:rPr>
          <w:sz w:val="24"/>
          <w:szCs w:val="24"/>
        </w:rPr>
      </w:pPr>
    </w:p>
    <w:p w:rsidR="00B140C3" w:rsidRDefault="00AA0C66" w:rsidP="00B140C3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Provide a </w:t>
      </w:r>
      <w:r w:rsidR="00B140C3">
        <w:rPr>
          <w:sz w:val="24"/>
        </w:rPr>
        <w:t xml:space="preserve">Copy of </w:t>
      </w:r>
      <w:r>
        <w:rPr>
          <w:sz w:val="24"/>
        </w:rPr>
        <w:t xml:space="preserve">the </w:t>
      </w:r>
      <w:r w:rsidR="00B140C3">
        <w:rPr>
          <w:sz w:val="24"/>
        </w:rPr>
        <w:t>Uniform Residential Appraisal Report</w:t>
      </w:r>
      <w:r w:rsidR="00495BAC" w:rsidRPr="00495BAC">
        <w:rPr>
          <w:sz w:val="24"/>
          <w:szCs w:val="24"/>
        </w:rPr>
        <w:t xml:space="preserve"> </w:t>
      </w:r>
      <w:r w:rsidR="00495BAC">
        <w:rPr>
          <w:sz w:val="24"/>
          <w:szCs w:val="24"/>
        </w:rPr>
        <w:t>or AVM</w:t>
      </w:r>
      <w:r w:rsidR="00495BAC" w:rsidRPr="00242A39">
        <w:rPr>
          <w:color w:val="FF0000"/>
          <w:sz w:val="24"/>
          <w:szCs w:val="24"/>
        </w:rPr>
        <w:t>*</w:t>
      </w:r>
    </w:p>
    <w:p w:rsidR="00A06AFC" w:rsidRDefault="00AA0C66" w:rsidP="00B140C3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Provide a </w:t>
      </w:r>
      <w:r w:rsidR="00B140C3">
        <w:rPr>
          <w:sz w:val="24"/>
        </w:rPr>
        <w:t xml:space="preserve">Copy of </w:t>
      </w:r>
      <w:r>
        <w:rPr>
          <w:sz w:val="24"/>
        </w:rPr>
        <w:t xml:space="preserve">the </w:t>
      </w:r>
      <w:r w:rsidR="00B140C3">
        <w:rPr>
          <w:sz w:val="24"/>
          <w:u w:val="single"/>
        </w:rPr>
        <w:t>new</w:t>
      </w:r>
      <w:r w:rsidR="00B140C3">
        <w:rPr>
          <w:sz w:val="24"/>
        </w:rPr>
        <w:t xml:space="preserve"> NOTE</w:t>
      </w:r>
      <w:r w:rsidR="00242A39">
        <w:rPr>
          <w:sz w:val="24"/>
        </w:rPr>
        <w:t>,</w:t>
      </w:r>
      <w:r w:rsidR="00B140C3">
        <w:rPr>
          <w:sz w:val="24"/>
        </w:rPr>
        <w:t xml:space="preserve"> </w:t>
      </w:r>
      <w:r w:rsidR="006C789F">
        <w:rPr>
          <w:sz w:val="24"/>
        </w:rPr>
        <w:t xml:space="preserve">if </w:t>
      </w:r>
      <w:r w:rsidR="00242A39">
        <w:rPr>
          <w:sz w:val="24"/>
        </w:rPr>
        <w:t xml:space="preserve">not </w:t>
      </w:r>
      <w:r w:rsidR="006C789F">
        <w:rPr>
          <w:sz w:val="24"/>
        </w:rPr>
        <w:t>available</w:t>
      </w:r>
      <w:r w:rsidR="00242A39">
        <w:rPr>
          <w:sz w:val="24"/>
        </w:rPr>
        <w:t>, copy of 1008 or 92900LT</w:t>
      </w:r>
    </w:p>
    <w:p w:rsidR="00B140C3" w:rsidRDefault="00AA0C66" w:rsidP="00B140C3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Provide a </w:t>
      </w:r>
      <w:r w:rsidR="00A06AFC">
        <w:rPr>
          <w:sz w:val="24"/>
        </w:rPr>
        <w:t xml:space="preserve">Copy of the HUD-1 </w:t>
      </w:r>
      <w:r w:rsidR="00B140C3">
        <w:rPr>
          <w:sz w:val="24"/>
        </w:rPr>
        <w:t xml:space="preserve">or </w:t>
      </w:r>
      <w:r w:rsidR="00495BAC">
        <w:rPr>
          <w:sz w:val="24"/>
        </w:rPr>
        <w:t xml:space="preserve">ESTIMATED </w:t>
      </w:r>
      <w:r w:rsidR="00B140C3">
        <w:rPr>
          <w:sz w:val="24"/>
        </w:rPr>
        <w:t xml:space="preserve">SETTLEMENT STATEMENT </w:t>
      </w:r>
      <w:r w:rsidR="00242A39">
        <w:rPr>
          <w:sz w:val="24"/>
        </w:rPr>
        <w:t>(GFE)</w:t>
      </w:r>
      <w:r w:rsidR="00B140C3">
        <w:rPr>
          <w:sz w:val="24"/>
        </w:rPr>
        <w:t xml:space="preserve"> </w:t>
      </w:r>
    </w:p>
    <w:p w:rsidR="00B140C3" w:rsidRPr="00A06AFC" w:rsidRDefault="00AA0C66" w:rsidP="00A06AFC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Provide a </w:t>
      </w:r>
      <w:r w:rsidR="00B140C3">
        <w:rPr>
          <w:sz w:val="24"/>
        </w:rPr>
        <w:t xml:space="preserve">Copy of </w:t>
      </w:r>
      <w:r>
        <w:rPr>
          <w:sz w:val="24"/>
        </w:rPr>
        <w:t xml:space="preserve">the </w:t>
      </w:r>
      <w:r w:rsidR="00B140C3">
        <w:rPr>
          <w:sz w:val="24"/>
        </w:rPr>
        <w:t>1003</w:t>
      </w:r>
    </w:p>
    <w:p w:rsidR="00B140C3" w:rsidRPr="00E90BD4" w:rsidRDefault="00AA0C66" w:rsidP="00B140C3">
      <w:pPr>
        <w:pStyle w:val="BodyText"/>
        <w:numPr>
          <w:ilvl w:val="0"/>
          <w:numId w:val="1"/>
        </w:numPr>
        <w:rPr>
          <w:b/>
          <w:bCs/>
          <w:sz w:val="24"/>
          <w:u w:val="single"/>
        </w:rPr>
      </w:pPr>
      <w:r>
        <w:rPr>
          <w:sz w:val="24"/>
        </w:rPr>
        <w:t>The Housing Division</w:t>
      </w:r>
      <w:r w:rsidR="00B140C3" w:rsidRPr="00E90BD4">
        <w:rPr>
          <w:sz w:val="24"/>
        </w:rPr>
        <w:t xml:space="preserve"> will not subordinate to an Option ARM 1</w:t>
      </w:r>
      <w:r w:rsidR="00B140C3" w:rsidRPr="00E90BD4">
        <w:rPr>
          <w:sz w:val="24"/>
          <w:vertAlign w:val="superscript"/>
        </w:rPr>
        <w:t>st</w:t>
      </w:r>
      <w:r w:rsidR="00B140C3" w:rsidRPr="00E90BD4">
        <w:rPr>
          <w:sz w:val="24"/>
        </w:rPr>
        <w:t xml:space="preserve"> Mortgage</w:t>
      </w:r>
      <w:r w:rsidR="009622BA" w:rsidRPr="00E90BD4">
        <w:rPr>
          <w:sz w:val="24"/>
        </w:rPr>
        <w:t xml:space="preserve">, </w:t>
      </w:r>
      <w:r w:rsidR="00B140C3" w:rsidRPr="00E90BD4">
        <w:rPr>
          <w:sz w:val="24"/>
        </w:rPr>
        <w:t>a Reverse Mortgage</w:t>
      </w:r>
      <w:r w:rsidR="009622BA" w:rsidRPr="00E90BD4">
        <w:rPr>
          <w:sz w:val="24"/>
        </w:rPr>
        <w:t xml:space="preserve"> or a</w:t>
      </w:r>
      <w:r w:rsidR="00B140C3" w:rsidRPr="00E90BD4">
        <w:rPr>
          <w:sz w:val="24"/>
        </w:rPr>
        <w:t>n Interest Only Mortgage</w:t>
      </w:r>
    </w:p>
    <w:p w:rsidR="00300C58" w:rsidRPr="00A06AFC" w:rsidRDefault="00300C58" w:rsidP="00300C58">
      <w:pPr>
        <w:pStyle w:val="BodyText"/>
        <w:numPr>
          <w:ilvl w:val="0"/>
          <w:numId w:val="1"/>
        </w:numPr>
        <w:rPr>
          <w:b/>
          <w:bCs/>
          <w:sz w:val="24"/>
          <w:u w:val="single"/>
        </w:rPr>
      </w:pPr>
      <w:r>
        <w:rPr>
          <w:sz w:val="24"/>
        </w:rPr>
        <w:t>There can be no cash b</w:t>
      </w:r>
      <w:r w:rsidR="00495BAC">
        <w:rPr>
          <w:sz w:val="24"/>
        </w:rPr>
        <w:t>ack to borrower in excess of $5</w:t>
      </w:r>
      <w:r w:rsidR="006C789F">
        <w:rPr>
          <w:sz w:val="24"/>
        </w:rPr>
        <w:t>0</w:t>
      </w:r>
      <w:r>
        <w:rPr>
          <w:sz w:val="24"/>
        </w:rPr>
        <w:t>0.</w:t>
      </w:r>
      <w:r w:rsidRPr="00300C58">
        <w:rPr>
          <w:bCs/>
          <w:sz w:val="24"/>
        </w:rPr>
        <w:t xml:space="preserve">  </w:t>
      </w:r>
      <w:r w:rsidR="00495BAC">
        <w:rPr>
          <w:bCs/>
          <w:sz w:val="24"/>
        </w:rPr>
        <w:t>Any d</w:t>
      </w:r>
      <w:r>
        <w:rPr>
          <w:bCs/>
          <w:sz w:val="24"/>
        </w:rPr>
        <w:t>ebt – consolidation (Payments to non-mortgage obligations in the loan amount) is considered cash to borrower</w:t>
      </w:r>
    </w:p>
    <w:p w:rsidR="00A06AFC" w:rsidRPr="00BE7BF1" w:rsidRDefault="00A06AFC" w:rsidP="00300C58">
      <w:pPr>
        <w:pStyle w:val="BodyText"/>
        <w:numPr>
          <w:ilvl w:val="0"/>
          <w:numId w:val="1"/>
        </w:numPr>
        <w:rPr>
          <w:b/>
          <w:bCs/>
          <w:sz w:val="24"/>
          <w:u w:val="single"/>
        </w:rPr>
      </w:pPr>
      <w:r>
        <w:rPr>
          <w:bCs/>
          <w:sz w:val="24"/>
        </w:rPr>
        <w:t xml:space="preserve">Title should be clear of any liens </w:t>
      </w:r>
      <w:r w:rsidR="00E90BD4">
        <w:rPr>
          <w:bCs/>
          <w:sz w:val="24"/>
        </w:rPr>
        <w:t xml:space="preserve">or encumbrances other than the </w:t>
      </w:r>
      <w:r>
        <w:rPr>
          <w:bCs/>
          <w:sz w:val="24"/>
        </w:rPr>
        <w:t>mortgage</w:t>
      </w:r>
      <w:r w:rsidR="00E90BD4">
        <w:rPr>
          <w:bCs/>
          <w:sz w:val="24"/>
        </w:rPr>
        <w:t>s</w:t>
      </w:r>
    </w:p>
    <w:p w:rsidR="00BE7BF1" w:rsidRPr="00300C58" w:rsidRDefault="00BE7BF1" w:rsidP="00300C58">
      <w:pPr>
        <w:pStyle w:val="BodyText"/>
        <w:numPr>
          <w:ilvl w:val="0"/>
          <w:numId w:val="1"/>
        </w:numPr>
        <w:rPr>
          <w:b/>
          <w:bCs/>
          <w:sz w:val="24"/>
          <w:u w:val="single"/>
        </w:rPr>
      </w:pPr>
      <w:r>
        <w:rPr>
          <w:bCs/>
          <w:sz w:val="24"/>
        </w:rPr>
        <w:t xml:space="preserve">Borrower must be current on </w:t>
      </w:r>
      <w:r w:rsidR="00242A39">
        <w:rPr>
          <w:bCs/>
          <w:sz w:val="24"/>
        </w:rPr>
        <w:t>1</w:t>
      </w:r>
      <w:r w:rsidR="00242A39" w:rsidRPr="00242A39">
        <w:rPr>
          <w:bCs/>
          <w:sz w:val="24"/>
          <w:vertAlign w:val="superscript"/>
        </w:rPr>
        <w:t>st</w:t>
      </w:r>
      <w:r w:rsidR="00242A39">
        <w:rPr>
          <w:bCs/>
          <w:sz w:val="24"/>
        </w:rPr>
        <w:t xml:space="preserve">  and 2</w:t>
      </w:r>
      <w:r w:rsidR="00242A39" w:rsidRPr="00242A39">
        <w:rPr>
          <w:bCs/>
          <w:sz w:val="24"/>
          <w:vertAlign w:val="superscript"/>
        </w:rPr>
        <w:t>nd</w:t>
      </w:r>
      <w:r w:rsidR="00242A39">
        <w:rPr>
          <w:bCs/>
          <w:sz w:val="24"/>
        </w:rPr>
        <w:t xml:space="preserve"> </w:t>
      </w:r>
      <w:r>
        <w:rPr>
          <w:bCs/>
          <w:sz w:val="24"/>
        </w:rPr>
        <w:t>mortgage</w:t>
      </w:r>
      <w:r w:rsidR="00242A39">
        <w:rPr>
          <w:bCs/>
          <w:sz w:val="24"/>
        </w:rPr>
        <w:t>s</w:t>
      </w:r>
      <w:r>
        <w:rPr>
          <w:bCs/>
          <w:sz w:val="24"/>
        </w:rPr>
        <w:t xml:space="preserve"> (no late payments in the past 12 months)</w:t>
      </w:r>
    </w:p>
    <w:p w:rsidR="00B140C3" w:rsidRDefault="00B140C3" w:rsidP="00B140C3">
      <w:pPr>
        <w:pStyle w:val="BodyText"/>
        <w:rPr>
          <w:sz w:val="22"/>
          <w:szCs w:val="22"/>
        </w:rPr>
      </w:pPr>
    </w:p>
    <w:p w:rsidR="00D85F67" w:rsidRPr="00AA0C66" w:rsidRDefault="00B140C3" w:rsidP="00AA0C66">
      <w:pPr>
        <w:pStyle w:val="BodyText"/>
        <w:rPr>
          <w:color w:val="FF0000"/>
          <w:sz w:val="22"/>
          <w:szCs w:val="22"/>
        </w:rPr>
      </w:pPr>
      <w:r w:rsidRPr="00242A39">
        <w:rPr>
          <w:color w:val="FF0000"/>
          <w:sz w:val="22"/>
          <w:szCs w:val="22"/>
        </w:rPr>
        <w:t>Note:  *Acceptable appraisal or AVM is not mandatory for a Streamline or HARP refinances (can accept automated Lender</w:t>
      </w:r>
      <w:r w:rsidR="00AA0C66">
        <w:rPr>
          <w:color w:val="FF0000"/>
          <w:sz w:val="22"/>
          <w:szCs w:val="22"/>
        </w:rPr>
        <w:t>’</w:t>
      </w:r>
      <w:r w:rsidRPr="00242A39">
        <w:rPr>
          <w:color w:val="FF0000"/>
          <w:sz w:val="22"/>
          <w:szCs w:val="22"/>
        </w:rPr>
        <w:t>s valuation/findings)</w:t>
      </w:r>
      <w:r w:rsidR="00AA0C66">
        <w:rPr>
          <w:color w:val="FF0000"/>
          <w:sz w:val="22"/>
          <w:szCs w:val="22"/>
        </w:rPr>
        <w:t>. The Housing Division</w:t>
      </w:r>
      <w:r w:rsidRPr="00242A39">
        <w:rPr>
          <w:color w:val="FF0000"/>
          <w:sz w:val="22"/>
          <w:szCs w:val="22"/>
        </w:rPr>
        <w:t xml:space="preserve"> will consider all subordination requests submitted that are in the best interest of our customer(s)</w:t>
      </w:r>
      <w:r w:rsidR="00AA0C66">
        <w:rPr>
          <w:color w:val="FF0000"/>
          <w:sz w:val="22"/>
          <w:szCs w:val="22"/>
        </w:rPr>
        <w:t>.</w:t>
      </w:r>
    </w:p>
    <w:sectPr w:rsidR="00D85F67" w:rsidRPr="00AA0C66" w:rsidSect="00296632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B9" w:rsidRDefault="007A7FB9" w:rsidP="00D4184A">
      <w:pPr>
        <w:spacing w:after="0" w:line="240" w:lineRule="auto"/>
      </w:pPr>
      <w:r>
        <w:separator/>
      </w:r>
    </w:p>
  </w:endnote>
  <w:endnote w:type="continuationSeparator" w:id="0">
    <w:p w:rsidR="007A7FB9" w:rsidRDefault="007A7FB9" w:rsidP="00D4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6E" w:rsidRDefault="003B416E">
    <w:pPr>
      <w:pStyle w:val="Footer"/>
      <w:rPr>
        <w:sz w:val="16"/>
        <w:szCs w:val="16"/>
      </w:rPr>
    </w:pPr>
    <w:r w:rsidRPr="00D4184A">
      <w:rPr>
        <w:sz w:val="16"/>
        <w:szCs w:val="16"/>
      </w:rPr>
      <w:t>October 1, 2013</w:t>
    </w:r>
  </w:p>
  <w:p w:rsidR="00296632" w:rsidRPr="00D4184A" w:rsidRDefault="00296632">
    <w:pPr>
      <w:pStyle w:val="Footer"/>
      <w:rPr>
        <w:sz w:val="16"/>
        <w:szCs w:val="16"/>
      </w:rPr>
    </w:pPr>
    <w:r w:rsidRPr="00296632">
      <w:rPr>
        <w:noProof/>
        <w:sz w:val="16"/>
        <w:szCs w:val="16"/>
      </w:rPr>
      <w:drawing>
        <wp:inline distT="0" distB="0" distL="0" distR="0">
          <wp:extent cx="350520" cy="373380"/>
          <wp:effectExtent l="19050" t="0" r="0" b="0"/>
          <wp:docPr id="1" name="Picture 1" descr="[0.5 inch Equal Housing Opportunity Log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0.5 inch Equal Housing Opportunity Logo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416E" w:rsidRDefault="003B4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B9" w:rsidRDefault="007A7FB9" w:rsidP="00D4184A">
      <w:pPr>
        <w:spacing w:after="0" w:line="240" w:lineRule="auto"/>
      </w:pPr>
      <w:r>
        <w:separator/>
      </w:r>
    </w:p>
  </w:footnote>
  <w:footnote w:type="continuationSeparator" w:id="0">
    <w:p w:rsidR="007A7FB9" w:rsidRDefault="007A7FB9" w:rsidP="00D4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536BB"/>
    <w:multiLevelType w:val="hybridMultilevel"/>
    <w:tmpl w:val="E1865D4C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C3"/>
    <w:rsid w:val="00126157"/>
    <w:rsid w:val="001754F2"/>
    <w:rsid w:val="001A1D47"/>
    <w:rsid w:val="001A4033"/>
    <w:rsid w:val="001B26F6"/>
    <w:rsid w:val="001D7DE4"/>
    <w:rsid w:val="00242A39"/>
    <w:rsid w:val="00270EA7"/>
    <w:rsid w:val="00296632"/>
    <w:rsid w:val="002F0CEF"/>
    <w:rsid w:val="00300C58"/>
    <w:rsid w:val="00324B1D"/>
    <w:rsid w:val="003A6D34"/>
    <w:rsid w:val="003B416E"/>
    <w:rsid w:val="0040406C"/>
    <w:rsid w:val="00495BAC"/>
    <w:rsid w:val="004C681E"/>
    <w:rsid w:val="00515AD1"/>
    <w:rsid w:val="005405C9"/>
    <w:rsid w:val="00584569"/>
    <w:rsid w:val="005A1DF6"/>
    <w:rsid w:val="005B1932"/>
    <w:rsid w:val="005D51C6"/>
    <w:rsid w:val="006003BF"/>
    <w:rsid w:val="006C789F"/>
    <w:rsid w:val="00737E39"/>
    <w:rsid w:val="00785E74"/>
    <w:rsid w:val="007A7FB9"/>
    <w:rsid w:val="00802CC3"/>
    <w:rsid w:val="008312CB"/>
    <w:rsid w:val="008C0E28"/>
    <w:rsid w:val="008C7661"/>
    <w:rsid w:val="008D121D"/>
    <w:rsid w:val="008F4C23"/>
    <w:rsid w:val="009622BA"/>
    <w:rsid w:val="00A06AFC"/>
    <w:rsid w:val="00A517E9"/>
    <w:rsid w:val="00AA0C66"/>
    <w:rsid w:val="00B140C3"/>
    <w:rsid w:val="00B319B5"/>
    <w:rsid w:val="00BE7BF1"/>
    <w:rsid w:val="00C013DF"/>
    <w:rsid w:val="00C806B0"/>
    <w:rsid w:val="00D4184A"/>
    <w:rsid w:val="00D85F67"/>
    <w:rsid w:val="00E370CB"/>
    <w:rsid w:val="00E44697"/>
    <w:rsid w:val="00E90BD4"/>
    <w:rsid w:val="00FB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61D7B-7F46-4B12-B6CD-2B792DE3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4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0103E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B140C3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140C3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B140C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B14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A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84A"/>
  </w:style>
  <w:style w:type="paragraph" w:styleId="Footer">
    <w:name w:val="footer"/>
    <w:basedOn w:val="Normal"/>
    <w:link w:val="FooterChar"/>
    <w:uiPriority w:val="99"/>
    <w:unhideWhenUsed/>
    <w:rsid w:val="00D4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4A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41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nk@housing.nv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353B2-AB2C-48F2-A87B-B629C212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Taylor</dc:creator>
  <cp:lastModifiedBy>Nnika</cp:lastModifiedBy>
  <cp:revision>3</cp:revision>
  <cp:lastPrinted>2013-12-16T17:05:00Z</cp:lastPrinted>
  <dcterms:created xsi:type="dcterms:W3CDTF">2015-03-24T23:28:00Z</dcterms:created>
  <dcterms:modified xsi:type="dcterms:W3CDTF">2015-03-24T23:30:00Z</dcterms:modified>
</cp:coreProperties>
</file>